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CEA" w:rsidRDefault="00957E24" w:rsidP="0065353C">
      <w:pPr>
        <w:widowControl/>
        <w:shd w:val="clear" w:color="auto" w:fill="FFFFFF"/>
        <w:adjustRightInd w:val="0"/>
        <w:snapToGrid w:val="0"/>
        <w:spacing w:before="100" w:beforeAutospacing="1" w:after="100" w:afterAutospacing="1" w:line="600" w:lineRule="exact"/>
        <w:jc w:val="center"/>
        <w:outlineLvl w:val="1"/>
        <w:rPr>
          <w:rFonts w:ascii="仿宋_GB2312" w:eastAsia="仿宋_GB2312"/>
          <w:sz w:val="32"/>
          <w:szCs w:val="32"/>
        </w:rPr>
      </w:pPr>
      <w:r>
        <w:rPr>
          <w:rFonts w:ascii="方正小标宋简体" w:eastAsia="方正小标宋简体" w:hAnsi="宋体" w:cs="宋体" w:hint="eastAsia"/>
          <w:bCs/>
          <w:kern w:val="36"/>
          <w:sz w:val="44"/>
          <w:szCs w:val="44"/>
        </w:rPr>
        <w:t>济宁市国资委</w:t>
      </w:r>
      <w:r w:rsidR="00504CEA" w:rsidRPr="00273789">
        <w:rPr>
          <w:rFonts w:ascii="方正小标宋简体" w:eastAsia="方正小标宋简体" w:hAnsi="宋体" w:cs="宋体" w:hint="eastAsia"/>
          <w:bCs/>
          <w:kern w:val="36"/>
          <w:sz w:val="44"/>
          <w:szCs w:val="44"/>
        </w:rPr>
        <w:t>201</w:t>
      </w:r>
      <w:r w:rsidR="00504CEA">
        <w:rPr>
          <w:rFonts w:ascii="方正小标宋简体" w:eastAsia="方正小标宋简体" w:hAnsi="宋体" w:cs="宋体" w:hint="eastAsia"/>
          <w:bCs/>
          <w:kern w:val="36"/>
          <w:sz w:val="44"/>
          <w:szCs w:val="44"/>
        </w:rPr>
        <w:t>4</w:t>
      </w:r>
      <w:r w:rsidR="00504CEA" w:rsidRPr="00273789">
        <w:rPr>
          <w:rFonts w:ascii="方正小标宋简体" w:eastAsia="方正小标宋简体" w:hAnsi="宋体" w:cs="宋体" w:hint="eastAsia"/>
          <w:bCs/>
          <w:kern w:val="36"/>
          <w:sz w:val="44"/>
          <w:szCs w:val="44"/>
        </w:rPr>
        <w:t>年</w:t>
      </w:r>
      <w:r w:rsidR="007B7872">
        <w:rPr>
          <w:rFonts w:ascii="方正小标宋简体" w:eastAsia="方正小标宋简体" w:hAnsi="宋体" w:cs="宋体" w:hint="eastAsia"/>
          <w:bCs/>
          <w:kern w:val="36"/>
          <w:sz w:val="44"/>
          <w:szCs w:val="44"/>
        </w:rPr>
        <w:t>度</w:t>
      </w:r>
      <w:r w:rsidR="00504CEA">
        <w:rPr>
          <w:rFonts w:ascii="方正小标宋简体" w:eastAsia="方正小标宋简体" w:hAnsi="宋体" w:cs="宋体" w:hint="eastAsia"/>
          <w:bCs/>
          <w:kern w:val="36"/>
          <w:sz w:val="44"/>
          <w:szCs w:val="44"/>
        </w:rPr>
        <w:t>部门决算</w:t>
      </w:r>
    </w:p>
    <w:p w:rsidR="00504CEA" w:rsidRPr="00B641F1" w:rsidRDefault="00504CEA" w:rsidP="0065353C">
      <w:pPr>
        <w:spacing w:line="600" w:lineRule="exact"/>
        <w:ind w:firstLineChars="200" w:firstLine="640"/>
        <w:rPr>
          <w:rFonts w:ascii="黑体" w:eastAsia="黑体"/>
          <w:sz w:val="32"/>
          <w:szCs w:val="32"/>
        </w:rPr>
      </w:pPr>
      <w:r w:rsidRPr="00B641F1">
        <w:rPr>
          <w:rFonts w:ascii="黑体" w:eastAsia="黑体" w:hint="eastAsia"/>
          <w:sz w:val="32"/>
          <w:szCs w:val="32"/>
        </w:rPr>
        <w:t>一、部门基本情况</w:t>
      </w:r>
    </w:p>
    <w:p w:rsidR="00B641F1" w:rsidRDefault="00B641F1" w:rsidP="0065353C">
      <w:pPr>
        <w:spacing w:line="600" w:lineRule="exact"/>
        <w:ind w:firstLineChars="200" w:firstLine="640"/>
        <w:rPr>
          <w:rFonts w:ascii="仿宋_GB2312" w:eastAsia="仿宋_GB2312"/>
          <w:sz w:val="32"/>
          <w:szCs w:val="32"/>
        </w:rPr>
      </w:pPr>
      <w:r w:rsidRPr="00287E57">
        <w:rPr>
          <w:rFonts w:ascii="仿宋_GB2312" w:eastAsia="仿宋_GB2312" w:hint="eastAsia"/>
          <w:sz w:val="32"/>
          <w:szCs w:val="32"/>
        </w:rPr>
        <w:t>1、部门职责。</w:t>
      </w:r>
    </w:p>
    <w:p w:rsidR="00957E24" w:rsidRDefault="00957E24" w:rsidP="00957E24">
      <w:pPr>
        <w:pStyle w:val="a7"/>
        <w:widowControl/>
        <w:spacing w:line="360" w:lineRule="auto"/>
        <w:ind w:leftChars="-100" w:left="-210"/>
        <w:rPr>
          <w:rFonts w:ascii="华文仿宋" w:eastAsia="华文仿宋" w:hAnsi="华文仿宋"/>
          <w:kern w:val="2"/>
          <w:sz w:val="30"/>
          <w:szCs w:val="30"/>
        </w:rPr>
      </w:pPr>
      <w:r>
        <w:rPr>
          <w:rFonts w:ascii="华文仿宋" w:eastAsia="华文仿宋" w:hAnsi="华文仿宋" w:hint="eastAsia"/>
          <w:kern w:val="2"/>
          <w:sz w:val="30"/>
          <w:szCs w:val="30"/>
        </w:rPr>
        <w:t>（一）根据市政府授权，依照《中华人民共和国公司法》、《中华人民共和国企业国有资产法》等法律法规履行出资人职责，监管市属企业的国有资产，加强国有资产管理工作。</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t>（二）承担监督所监管企业国有资产保值增值的责任；建立和完善国有资产保值增值指标体系，拟订考核标准；通过统计、稽核等方式对所监管企业国有资产的保值增值情况进行监管；依法维护国有资产出资人的权益。</w:t>
      </w:r>
    </w:p>
    <w:p w:rsidR="00957E24" w:rsidRDefault="00957E24" w:rsidP="00957E24">
      <w:pPr>
        <w:pStyle w:val="a7"/>
        <w:widowControl/>
        <w:spacing w:line="360" w:lineRule="auto"/>
        <w:ind w:leftChars="-100" w:left="-210"/>
        <w:rPr>
          <w:rFonts w:ascii="华文仿宋" w:eastAsia="华文仿宋" w:hAnsi="华文仿宋"/>
          <w:kern w:val="2"/>
          <w:sz w:val="30"/>
          <w:szCs w:val="30"/>
        </w:rPr>
      </w:pPr>
      <w:r>
        <w:rPr>
          <w:rFonts w:ascii="华文仿宋" w:eastAsia="华文仿宋" w:hAnsi="华文仿宋" w:hint="eastAsia"/>
          <w:kern w:val="2"/>
          <w:sz w:val="30"/>
          <w:szCs w:val="30"/>
        </w:rPr>
        <w:t xml:space="preserve">   </w:t>
      </w:r>
      <w:r w:rsidR="001530F2">
        <w:rPr>
          <w:rFonts w:ascii="华文仿宋" w:eastAsia="华文仿宋" w:hAnsi="华文仿宋" w:hint="eastAsia"/>
          <w:kern w:val="2"/>
          <w:sz w:val="30"/>
          <w:szCs w:val="30"/>
        </w:rPr>
        <w:t xml:space="preserve">  </w:t>
      </w:r>
      <w:r>
        <w:rPr>
          <w:rFonts w:ascii="华文仿宋" w:eastAsia="华文仿宋" w:hAnsi="华文仿宋"/>
          <w:kern w:val="2"/>
          <w:sz w:val="30"/>
          <w:szCs w:val="30"/>
        </w:rPr>
        <w:t>（三）指导推进所监管企业改革和重组；推进所监管企业的现代企业制度建设，完善公司治理结构；推动全市国有经济布局和结构的战略性调整。</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t>（四）通过法定程序对所监管企业负责人进行任免、考核，并根据其经营业绩进行奖惩；建立符合现代企业制度要求的选人、用人机制，完善经营者激励和约束制度；负责所监管企业工资分配管理工作，制定所监管企业负责人收入分配政策并组织实施。</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t>（五）按照有关规定，代表市政府向所监管企业派出监事会、财务总监，负责监事会、财务总监的日常管理工作。</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t>（六）负责组织所监管企业上交国有资本收益；参与制定国有资本经营预算有关管理制度和办法；按照有关规定负责所监管企业国有资本经营预决算编制和执行等工作。</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lastRenderedPageBreak/>
        <w:t>（七）按照出资人职责，负责督促检查所监管企业贯彻落实国家安全生产方针政策及有关法律法规等工作。</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t>（八）负责企业国有资产基础管理；制定企业国有资产管监督理的规范性文件，研究提出加强国有资产监督管理的政策措施。</w:t>
      </w:r>
    </w:p>
    <w:p w:rsidR="00957E24" w:rsidRDefault="00957E24" w:rsidP="001530F2">
      <w:pPr>
        <w:pStyle w:val="a7"/>
        <w:widowControl/>
        <w:spacing w:line="560" w:lineRule="atLeast"/>
        <w:ind w:leftChars="-100" w:left="-210" w:firstLineChars="260" w:firstLine="780"/>
        <w:rPr>
          <w:rFonts w:ascii="华文仿宋" w:eastAsia="华文仿宋" w:hAnsi="华文仿宋"/>
          <w:kern w:val="2"/>
          <w:sz w:val="30"/>
          <w:szCs w:val="30"/>
        </w:rPr>
      </w:pPr>
      <w:r>
        <w:rPr>
          <w:rFonts w:ascii="华文仿宋" w:eastAsia="华文仿宋" w:hAnsi="华文仿宋"/>
          <w:kern w:val="2"/>
          <w:sz w:val="30"/>
          <w:szCs w:val="30"/>
        </w:rPr>
        <w:t>（九）依法对县（市、区）的国有资产监督管理工作进行指导和监督。</w:t>
      </w:r>
    </w:p>
    <w:p w:rsidR="00957E24" w:rsidRDefault="00957E24" w:rsidP="00957E24">
      <w:pPr>
        <w:pStyle w:val="a7"/>
        <w:widowControl/>
        <w:spacing w:line="560" w:lineRule="atLeast"/>
        <w:rPr>
          <w:rFonts w:ascii="华文仿宋" w:eastAsia="华文仿宋" w:hAnsi="华文仿宋"/>
          <w:sz w:val="30"/>
          <w:szCs w:val="30"/>
        </w:rPr>
      </w:pPr>
      <w:r>
        <w:rPr>
          <w:rFonts w:ascii="华文仿宋" w:eastAsia="华文仿宋" w:hAnsi="华文仿宋" w:hint="eastAsia"/>
          <w:kern w:val="2"/>
          <w:sz w:val="30"/>
          <w:szCs w:val="30"/>
        </w:rPr>
        <w:t xml:space="preserve"> </w:t>
      </w:r>
      <w:r w:rsidR="001530F2">
        <w:rPr>
          <w:rFonts w:ascii="华文仿宋" w:eastAsia="华文仿宋" w:hAnsi="华文仿宋" w:hint="eastAsia"/>
          <w:kern w:val="2"/>
          <w:sz w:val="30"/>
          <w:szCs w:val="30"/>
        </w:rPr>
        <w:t xml:space="preserve">  </w:t>
      </w:r>
      <w:r>
        <w:rPr>
          <w:rFonts w:ascii="华文仿宋" w:eastAsia="华文仿宋" w:hAnsi="华文仿宋" w:hint="eastAsia"/>
          <w:kern w:val="2"/>
          <w:sz w:val="30"/>
          <w:szCs w:val="30"/>
        </w:rPr>
        <w:t xml:space="preserve"> </w:t>
      </w:r>
      <w:r>
        <w:rPr>
          <w:rFonts w:ascii="华文仿宋" w:eastAsia="华文仿宋" w:hAnsi="华文仿宋"/>
          <w:kern w:val="2"/>
          <w:sz w:val="30"/>
          <w:szCs w:val="30"/>
        </w:rPr>
        <w:t>（十）承办市委、市政府交办的其他事项。</w:t>
      </w:r>
    </w:p>
    <w:p w:rsidR="00957E24" w:rsidRPr="00287E57" w:rsidRDefault="00957E24" w:rsidP="0065353C">
      <w:pPr>
        <w:spacing w:line="600" w:lineRule="exact"/>
        <w:ind w:firstLineChars="200" w:firstLine="640"/>
        <w:rPr>
          <w:rFonts w:ascii="仿宋_GB2312" w:eastAsia="仿宋_GB2312"/>
          <w:sz w:val="32"/>
          <w:szCs w:val="32"/>
        </w:rPr>
      </w:pPr>
    </w:p>
    <w:p w:rsidR="00B641F1" w:rsidRDefault="00B641F1" w:rsidP="0065353C">
      <w:pPr>
        <w:spacing w:line="600" w:lineRule="exact"/>
        <w:ind w:firstLineChars="200" w:firstLine="640"/>
        <w:rPr>
          <w:rFonts w:ascii="仿宋_GB2312" w:eastAsia="仿宋_GB2312"/>
          <w:sz w:val="32"/>
          <w:szCs w:val="32"/>
        </w:rPr>
      </w:pPr>
      <w:r w:rsidRPr="00287E57">
        <w:rPr>
          <w:rFonts w:ascii="仿宋_GB2312" w:eastAsia="仿宋_GB2312" w:hint="eastAsia"/>
          <w:sz w:val="32"/>
          <w:szCs w:val="32"/>
        </w:rPr>
        <w:t>2、</w:t>
      </w:r>
      <w:r w:rsidR="007B7872" w:rsidRPr="00287E57">
        <w:rPr>
          <w:rFonts w:ascii="仿宋_GB2312" w:eastAsia="仿宋_GB2312" w:hint="eastAsia"/>
          <w:sz w:val="32"/>
          <w:szCs w:val="32"/>
        </w:rPr>
        <w:t>机构设置</w:t>
      </w:r>
      <w:r w:rsidRPr="00287E57">
        <w:rPr>
          <w:rFonts w:ascii="仿宋_GB2312" w:eastAsia="仿宋_GB2312" w:hint="eastAsia"/>
          <w:sz w:val="32"/>
          <w:szCs w:val="32"/>
        </w:rPr>
        <w:t>。</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一、办公室（挂党委办公室牌子）</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委机关日常工作的协调与督办；负责委机关文秘、会议、机要、保密、信息、档案、安全保卫、后勤保障等工作；负责委机关并监督所属单位财务、国有资产管理工作；负责委机关信息化建设。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（一）负责调度了解监管企业和县（市、区）国资监管机构贯彻执行上级有关方针政策、决议、指示的情况；协助委领导处理机关运转的日常工作；协调委机关和所属单位的工作。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（二）负责拟订规范机关工作运转的规章制度，并组织实施。</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（三）负责委机关有关请示、报告、通知等的起草工作；组织拟定市国资委工作计划和总结；负责委机关各科室重要文稿的审核。</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（四）负责汇总审核委机关年度会议计划；负责组织党委会议、委务会议、主任办公会议、全体人员会议、全市国有资产监督管理工作会议等，并整理印发《会议纪要》。</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承办委收文电（含机要文电）和资料的登记、呈（传）阅、催办、保管、核销、立卷、归档和委发文电的审核工作；负责收集管理委文书、会计、声像档案；指导委机关专用档案室管理工作；负责管理市国资委和市国资委党委印鉴。</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（六）负责委保密委员会日常工作；检查指导监管企业、委机关及所属单位的机要保密工作。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组织收集、分析、整理、报送委机关、监管企业和县（市、区）国资监管信息，编发《国资监管信息》；指导监管企业和县（市、区）国资监管机构的信息工作；负责每周工作计划、半月重要工作、大事记和年鉴的编撰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负责督查市国资委承办的市委、市政府年度重要工作事项、重大项目责任分工和委重要会议、重要文件决定事项以及各级领导批办事项的落实；负责组织人大代表建议、议案和政协委员提案的办复和有关视察工作。</w:t>
      </w:r>
    </w:p>
    <w:p w:rsidR="00957E24" w:rsidRPr="00957E24" w:rsidRDefault="00957E24" w:rsidP="001530F2">
      <w:pPr>
        <w:pStyle w:val="p17"/>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（九）负责委机关、市监事和财务总监工作办公室的财务和固定资产管理工作；负责委机关办公用品的购置与发放；归口管理委机关对外签订的经济合同。</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（十）负责组织拟订委机关信息化工作方案并组织实施；负责委机关网站的日常管理维护工作。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（十一）负责委机关值班、安全保卫和后勤保障工作；承办、协调委机关有关接待工作。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（十二）承办委领导交办的其他事项。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二、政策法规科</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企业国有资产监督管理规范性文件的起草和协调工作,承担委机关规范性文件的合法性审核工作;起草综合性文字材料；收集整理全市国有资产监督管理工作情况和所监管企业的综合信息；研究国有企业改革和发展中的有关法律问题；承担委机关的法律事务;研究企业国有资产管理体制改革、所监管企业的改革发展、党的建设、领导班子建设和精神文明建设等重大问题。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拟定委政策法规的年度计划;研究国有资产监督管理中的重大政策和法律问题,起草国有资产监督管理的规范性文件、规章、制度草案;审核、协调委各科室、单位起草的涉及法律、法规问题的重大政策;负责涉及国有企业改革发展的规章备案、法规清理协调等工作；汇总编纂我委规范性文件汇编。</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（二）负责组织起草委综合性会议文件、领导讲话、工作报告、工作总结、汇报材料和研究性文稿等。</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协调监管企业的有关法律事务；指导监管企业企业法律顾问制度建设和企业总法律顾问制度试点工作,负责全市国有企业及事业单位考取的企业法律顾问继续教育工作，负责组织全市国有企业及事业单位考取的企业法律顾问注册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（四）负责收集整理全市国有资产监督管理工作情况和所监管企业的综合信息。</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（五）负责委机关和监管企业的法制宣传教育工作与法律咨询事务;负责组织检查监管企业贯彻落实有关国家和地方性法律法规的情况,并对有关问题进行协调;承办委机关的法律事务。</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拟订委调研课题的年度计划和管理办法，并组织实施;负责优秀研究成果的申报工作;负责与监管企业、县级国有资产监管机构在重大课题研究方面的联系和协调;负责主办或参与委重要研究论坛的筹备、协调和组织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（七）负责研究总结国有资产监督管理、国有企业改革发展的理论和实践经验,调查研究监管企业改革发展、党的建设、领导班子建设和精神文明建设中涉及全局性、前瞻性的重大问题，并提出政策建议。</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（八）承办委领导交办的其他事项。</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6C3664">
        <w:rPr>
          <w:rFonts w:ascii="华文仿宋" w:eastAsia="华文仿宋" w:hAnsi="华文仿宋" w:cs="Times New Roman" w:hint="eastAsia"/>
          <w:b/>
          <w:kern w:val="2"/>
          <w:sz w:val="30"/>
          <w:szCs w:val="30"/>
        </w:rPr>
        <w:t>三、统计评价与业绩考核科</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承办所监管企业财务预决算的有关工作；对所监管企业进行财务监督；承担企业国有资产统计分析工作，建立健全国有企业绩效评价指标体系并组织实施；完善所监管企业负责人经营业绩考核制度，对所监管企业负责人进行年度和任期考核；承担市属国有企业清产核资和资产损失核销工作；提出所监管企业重大财产损失责任追究的意见和措施；综合研究国有经济和所监管企业的运行状况。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（一）负责拟订全市企业国有资产年度统计报告工作制度并组织实施；负责全市企业国有资产年度统计报告的布置、收集、审核和汇总上报工作；研究分析国有资本结构和运营状况。</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拟订监管企业财务预决算报告管理制度和审计监督制度；负责对监管企业财务预决算方案的审核批准，并对其财务预算执行工作进行监督管理；负责监管企业年度财务决算的布置、收集、审核和汇总工作；负责监管企业年度财务决算审计报告的评价；指导企业以财务预算管理为纽带实施全面预算管理。</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建立监管企业财务动态监测体系，负责监管企业财务快报的审核汇总、分析上报工作；建立和管理全市企业国有资产统计信息、监管企业财务决算报告数据库，强化监管企业经济运行调度，综合研究国有经济和监管企业运行情况。</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（四）负责监督指导监管企业正确执行财会法律法规，监督监管企业重大财务事项；监督监管企业会计核算管理和成本费用控制情况；指导监管企业开展内部审计工作。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（五）负责建立健全监管企业绩效评价体系，指导并组织实施监管企业综合绩效评价工作。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（六）负责健全完善监管企业负责人经营业绩考核制度，提出年度和任期业绩考核目标，组织签订业绩考核责任书；负责跟踪检查业绩考核责任书执行情况，审核确认监管企业负责人年度和任期业绩考核结果。</w:t>
      </w:r>
    </w:p>
    <w:p w:rsidR="00957E24" w:rsidRPr="00957E24" w:rsidRDefault="00957E24" w:rsidP="001530F2">
      <w:pPr>
        <w:pStyle w:val="p17"/>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（七）负责拟订国有企业清产核资政策和制度，组织市属国有企业清产核资工作，负责审核认定清产核资结果和资产损失核销工作，督促指导监管企业加强不良资产的管理。</w:t>
      </w:r>
    </w:p>
    <w:p w:rsidR="00957E24" w:rsidRPr="00957E24" w:rsidRDefault="00957E24" w:rsidP="001530F2">
      <w:pPr>
        <w:pStyle w:val="p17"/>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（八）负责提出监管企业重大财产损失责任追究的意见和措施。</w:t>
      </w:r>
    </w:p>
    <w:p w:rsidR="00957E24" w:rsidRPr="00957E24" w:rsidRDefault="00957E24" w:rsidP="001530F2">
      <w:pPr>
        <w:pStyle w:val="p17"/>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（九）负责指导县级国有资产监管机构统计评价与业绩考核工作。</w:t>
      </w:r>
    </w:p>
    <w:p w:rsidR="00957E24" w:rsidRPr="00957E24" w:rsidRDefault="00957E24" w:rsidP="001530F2">
      <w:pPr>
        <w:pStyle w:val="p17"/>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（十）承办委领导交办的其他事项。</w:t>
      </w:r>
    </w:p>
    <w:p w:rsidR="00957E24" w:rsidRPr="00957E24" w:rsidRDefault="00957E24" w:rsidP="006C366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6C3664">
        <w:rPr>
          <w:rFonts w:ascii="华文仿宋" w:eastAsia="华文仿宋" w:hAnsi="华文仿宋" w:cs="Times New Roman" w:hint="eastAsia"/>
          <w:b/>
          <w:kern w:val="2"/>
          <w:sz w:val="30"/>
          <w:szCs w:val="30"/>
        </w:rPr>
        <w:t>四、产权管理科</w:t>
      </w:r>
    </w:p>
    <w:p w:rsidR="00957E24" w:rsidRPr="00957E24" w:rsidRDefault="00957E24" w:rsidP="00957E24">
      <w:pPr>
        <w:pStyle w:val="p0"/>
        <w:spacing w:before="0" w:beforeAutospacing="0" w:after="0" w:afterAutospacing="0" w:line="560" w:lineRule="atLeast"/>
        <w:ind w:firstLine="629"/>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主要职责是：提出完善全市企业国有产权管理的意见；承担市属企业国有资产产权界定、登记、划转、处置及产权纠纷调处等工作；负责对从事企业国有资产审计、评估和出具法律意见书等中介服务机构的招标和委托工作；审核市属企业产权变动和所监管企业资本金变动方案；拟订推动所监管企业资本运营工作的指导意见；组织所监管企业上交国有资本收益；拟订国有资本经营预算有关制度；承担国有资本经营预决算编制和执行有关工作；监督、规范国有产权交易。具体职责如下： </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（一）负责制订企业国有资产产权界定、登记、划转、处置及产权纠纷调处等管理办法和工作规则，负责市属企业上述国有资产管理事宜；监督检查、汇总分析全市企业国有产权登记和变动情况。</w:t>
      </w:r>
    </w:p>
    <w:p w:rsidR="00957E24" w:rsidRPr="00957E24" w:rsidRDefault="00957E24" w:rsidP="00957E24">
      <w:pPr>
        <w:pStyle w:val="p0"/>
        <w:spacing w:before="0" w:beforeAutospacing="0" w:after="0" w:afterAutospacing="0" w:line="560" w:lineRule="atLeast"/>
        <w:ind w:firstLine="629"/>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（二）负责健全完善中介机构选聘监督管理的相关办法，负责对从事企业国有资产审计、评估和出具法律意见书等中介服务机构的招标和委托工作。</w:t>
      </w:r>
    </w:p>
    <w:p w:rsidR="00957E24" w:rsidRPr="00957E24" w:rsidRDefault="00957E24" w:rsidP="00957E24">
      <w:pPr>
        <w:pStyle w:val="p0"/>
        <w:spacing w:before="0" w:beforeAutospacing="0" w:after="0" w:afterAutospacing="0" w:line="560" w:lineRule="atLeast"/>
        <w:ind w:firstLine="629"/>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（三）负责拟订全市企业国有产权交易监管制度，监督、规范企业国有产权交易活动，会同有关部门研究提出产权交易市场建设与管理的政策建议。</w:t>
      </w:r>
    </w:p>
    <w:p w:rsidR="00957E24" w:rsidRPr="00957E24" w:rsidRDefault="00957E24" w:rsidP="00957E24">
      <w:pPr>
        <w:pStyle w:val="p0"/>
        <w:spacing w:before="0" w:beforeAutospacing="0" w:after="0" w:afterAutospacing="0" w:line="560" w:lineRule="atLeast"/>
        <w:ind w:firstLine="629"/>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审核市属企业产权变动和所监管企业资本金变动方案；指导监管企业融资工作，审核监管企业发行债券等融资方案；拟订推动所监管企业资本运营工作的指导意见并组织实施；研究制订所监管企业担保和捐赠管理办法，并对执行情况进行监督检查。</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（五）负责拟订全市国有股东持有上市公司股权管理意见，依法审核企业股份制改制国有股权设置方案和上市公司国有股权管理事项。</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（六）负责拟订国有资本经营预算有关制度，承担所监管企业国有资本经营预决算编制和执行有关工作，组织所监管企业上交国有资本收益。</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（七）负责研究提出市属企业境外国有资产管理的政策意见，拟订有关规章制度，监督检查所监管企业境外国有产权状况。</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（八）负责指导和监督县级国有资产监管机构国有资产产权管理工作，对县属企业应由市国资委批准的有关国有产权事项提出意见。</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（九）承办委领导交办的其他事项。</w:t>
      </w:r>
    </w:p>
    <w:p w:rsidR="00957E24" w:rsidRPr="006C3664" w:rsidRDefault="00957E24" w:rsidP="006C366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五、企业规划发展与改革改组科（挂市国有企业兼并破产办公室牌子）</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根据国有经济布局和战略性调整政策，指导所监管企业布局和结构调整；提出发展大公司大企业集团的政策、措施；审核所监管企业的发展战略和规划；承担对履行出资人职责的国有独资公司章程的审核工作；对所监管企业重大投资决策履行出资人职责；研究提出所监管企业改革的政策规定，指导所监管企业的现代企业制度建设；研究所监管企业合并、股份制改造、上市、合资等重组方案，对其中需要国有股东决定的事项提出意见；组织协调所监管企业的合并、分立、解散、清算和关闭破产、困难企业重组工作，协调解决企业改组中的重大问题；指导所监管企业管理现代化和信息化工作；联系所监管企业的安全生产、应急管理、节能减排、环境保护等工作。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（一）负责研究提出国有经济布局和国有经济结构调整战略措施，指导出资企业进行战略性调整；指导、审核所监管企业制定战略发展规划，推进企业结构调整，提高企业竞争力。</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建立完善监管企业投资管理制度体系，引导监管企业按照国有经济布局规划和产业政策实施投资行为；负责监管企业重大投资项目的审查备案和后评价；对企业重大投融资的方向、规模和回报率进行核认、监控。</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（三）负责研究提出发展大公司大企业集团的政策措施；拟定企业集团组建方案并组织实施；指导企业研究制定优势企业加快发展主业的措施，并指导企业组织实施。</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（四）负责审核监管企业投资设立国有独资及国有控股公司；承担监管国有独资公司章程的审核工作。</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（五）负责指导国有企业建立现代企业制度，规范股份制改革，研究提出企业改制的指导意见;参与国有控股上市公司完善治理结构、规范运作的监管。</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（六）负责审核所监管国有独资及国有控股企业的联合、合资、合并、分立等重组方案和改制上市方案、存续企业改革方案及公司章程，并拟定批复意见。</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（七）负责拟订出资企业转换机制、加强管理、推进管理现代化和信息化的指导意见;总结、宣传和推广先进企业的经验，推广国内外现代化管理方法。</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（八）负责承担市国有企业兼并破产办公室日常工作。负责组织协调监管企业的解散、清算和关闭破产工作。</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（九）负责帮助监管企业协调解决发展和改革有关问题。</w:t>
      </w:r>
    </w:p>
    <w:p w:rsidR="00957E24" w:rsidRPr="00957E24" w:rsidRDefault="00957E24" w:rsidP="001530F2">
      <w:pPr>
        <w:pStyle w:val="p17"/>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（十）负责联系所监管企业的安全生产、应急管理、节能减排、环境保护等工作。</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（十一）负责指导县级国有企业的规划发展和改革改组工作。</w:t>
      </w:r>
    </w:p>
    <w:p w:rsidR="00957E24" w:rsidRPr="00957E24" w:rsidRDefault="00957E24" w:rsidP="00957E24">
      <w:pPr>
        <w:pStyle w:val="p0"/>
        <w:spacing w:before="0" w:beforeAutospacing="0" w:after="0" w:afterAutospacing="0" w:line="560" w:lineRule="atLeast"/>
        <w:ind w:firstLine="63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（十二）承办委领导交办的其他事项。</w:t>
      </w:r>
    </w:p>
    <w:p w:rsidR="00957E24" w:rsidRPr="00957E24" w:rsidRDefault="00957E24" w:rsidP="006C366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6C3664">
        <w:rPr>
          <w:rFonts w:ascii="华文仿宋" w:eastAsia="华文仿宋" w:hAnsi="华文仿宋" w:cs="Times New Roman" w:hint="eastAsia"/>
          <w:b/>
          <w:kern w:val="2"/>
          <w:sz w:val="30"/>
          <w:szCs w:val="30"/>
        </w:rPr>
        <w:t>六、企业资产评估管理科</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主要职责是：负责拟订全市企业国有资产评估管理办法；负责市属企业国有资产评估项目及县（市、区）重大企业国有资产评估项目的核准和备案工作。具体职责如下:</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（一）负责拟订全市企业国有资产评估管理规定和办法。</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（二）负责市属企业国有资产评估项目的核准和备案及县（市、区）重大企业国有资产评估项目的核准工作。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（三）负责企业国有资产评估项目的监督检查工作。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（四）负责企业国有资产评估项目统计分析报告工作。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（五）负责指导县级国有资产监管机构企业国有资产评估管理工作。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（六）承办委领导交办的其他事项。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七、企业分配科</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拟订国有企业收入分配制度改革的指导意见；根据国家有关规定，对所监管国有企业工资分配的总体水平进行调控，研究拟订所监管企业负责人的薪酬制度和激励办法并组织实施；按照有关规定，规范所监管企业负责人职务消费和职工福利保障；指导所监管企业主辅分离和辅业改制、富余人员分流工作。具体职责如下:</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（一）负责拟订国有企业职工收入分配制度改革的政策措施，指导国有企业收入分配制度改革，依法规范出资人、企业和职工的分配关系。</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（二）负责对监管企业工资分配的总体水平进行调控，审核监管企业的工资总额。</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研究国有企业负责人薪酬制度改革，拟订监管企业负责人薪酬制度改革的指导意见和政策，并审核相关改革方案，指导国有企业建立和完善激励约束机制；建立监管企业负责人薪酬监管制度并组织实施。</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（四）负责按照有关规定，拟订规范监管企业负责人职务消费和职工福利保障的指导意见和政策，并组织实施。</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（五）负责指导所监管企业主辅分离、辅业改制和分流安置富余人员工作，审核并批复监管企业改制分流总体方案；指导监管企业内部所属企业的分离改制工作。</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（六）负责指导监管企业做好企业改制过程中劳动关系的处理，审核监管企业改制的职工安置方案，理顺企业与职工的劳动关系。</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（七）负责指导监管企业深化内部劳动、人事、分配制度改革，配合有关部门做好完善社会保障体制的相关工作。</w:t>
      </w:r>
    </w:p>
    <w:p w:rsidR="00957E24" w:rsidRPr="00957E24" w:rsidRDefault="00957E24" w:rsidP="00957E24">
      <w:pPr>
        <w:pStyle w:val="p0"/>
        <w:spacing w:before="0" w:beforeAutospacing="0" w:after="0" w:afterAutospacing="0" w:line="560" w:lineRule="atLeast"/>
        <w:ind w:firstLine="643"/>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（八）承办委领导交办的其他事项。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八、企业领导人员管理科（挂党委组织部牌子）</w:t>
      </w:r>
    </w:p>
    <w:p w:rsidR="00957E24" w:rsidRPr="00957E24" w:rsidRDefault="00957E24" w:rsidP="00957E24">
      <w:pPr>
        <w:pStyle w:val="p17"/>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所监管企业领导班子和后备队伍建设；承担对所监管企业领导人员的考察工作并提出任免建议；考察推荐董事、独立董事、监事人选；负责所监管企业领导人员档案管理和出国审查工作；建立符合现代企业制度要求的企业领导人员考核、评</w:t>
      </w:r>
      <w:r w:rsidRPr="00957E24">
        <w:rPr>
          <w:rFonts w:ascii="华文仿宋" w:eastAsia="华文仿宋" w:hAnsi="华文仿宋" w:cs="Times New Roman" w:hint="eastAsia"/>
          <w:kern w:val="2"/>
          <w:sz w:val="30"/>
          <w:szCs w:val="30"/>
        </w:rPr>
        <w:lastRenderedPageBreak/>
        <w:t>价和选任方式；拟订向国有控股和参股公司派出国有股权代表的方案；组织开展所监管企业负责人离任和任期经济责任审计工作；负责所监管企业党的组织建设，指导所监管企业人才队伍建设；指导、协调、落实所监管企业离休人员的管理服务工作。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（一）负责市国资委党委管理的企业领导班子建设和企业领导人员管理工作，拟订有关政策措施和管理办法，探索符合社会主义市场经济体制和现代企业制度要求的企业领导人员考核、评价和选任方式。</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 xml:space="preserve"> （二）负责拟订市国资委党委管理和备案管理的职务名称，并对审批程序提出意见和建议。</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（三）负责市国资委党委管理企业领导班子和领导人员及后备人选的考察工作，并提出任免建议，办理任免手续；负责考察企业领导人员后备人选，建立后备人才库。</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（四）负责考察推荐董事、外部董事、监事人选；拟订向国有控股和参股企业派出国有股权代表的工作方案。</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（五）负责对企业党委组织部（人力资源部）长、财务处（科）长以及子公司法人代表的任免进行审查备案工作。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（六）负责指导企业党的建设工作，研究提出加强和改进企业党建工作的意见和建议；对企业党组织发挥政治核心作用、参与企业重大问题决策、贯彻民主集中制进行指导和检查。</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七）负责企业领导班子、领导人员思想作风建设和干部监督工作。指导企业领导班子民主生活会；处理反映企业领导班子和领导人员有关问题的来信来访；负责企业领导人员收入申报、离任和经济责任审计备案工作，并协助派驻纪检组做好企业领导人员个人重大事项报告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（八）指导企业召开党员代表大会（党员大会）和党委换届工作；指导企业党员队伍建设、党员教育管理和发展党员工作；负责企业党内统计、党费管理以及接转党组织关系工作。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 xml:space="preserve"> （九）负责企业领导人员和后备人选的教育培训，以及有关人才工作的归口管理和协调。</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（十）负责监管企业干部统计和领导人员档案管理工作。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（十一）负责归口管理企业人员出国（境）审查、审批事项。</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w:t>
      </w:r>
      <w:r w:rsidR="001530F2">
        <w:rPr>
          <w:rFonts w:ascii="华文仿宋" w:eastAsia="华文仿宋" w:hAnsi="华文仿宋" w:cs="Times New Roman" w:hint="eastAsia"/>
          <w:kern w:val="2"/>
          <w:sz w:val="30"/>
          <w:szCs w:val="30"/>
        </w:rPr>
        <w:t xml:space="preserve">  </w:t>
      </w:r>
      <w:r w:rsidRPr="00957E24">
        <w:rPr>
          <w:rFonts w:ascii="华文仿宋" w:eastAsia="华文仿宋" w:hAnsi="华文仿宋" w:cs="Times New Roman" w:hint="eastAsia"/>
          <w:kern w:val="2"/>
          <w:sz w:val="30"/>
          <w:szCs w:val="30"/>
        </w:rPr>
        <w:t>（十二）负责参与研究拟订企业法人治理结构框架设计、企业领导人员激励约束机制以及考核奖惩分配的有关办法。</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（十三）负责组织开展所监管企业负责人离任和任期经济责任审计工作。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（十四）负责指导、协调、落实所监管企业离休人员的管理服务工作。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（十五）承办委领导交办的其他事项。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九、宣传与群众工作科</w:t>
      </w:r>
    </w:p>
    <w:p w:rsidR="00957E24" w:rsidRPr="00957E24" w:rsidRDefault="00957E24" w:rsidP="00957E24">
      <w:pPr>
        <w:pStyle w:val="p0"/>
        <w:spacing w:before="0" w:beforeAutospacing="0" w:after="0" w:afterAutospacing="0" w:line="560" w:lineRule="atLeast"/>
        <w:ind w:firstLine="43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主要职责是：负责所监管企业党的思想建设、精神文明建设和宣传工作，指导和推进所监管企业的思想政治工作和企业文化</w:t>
      </w:r>
      <w:r w:rsidRPr="00957E24">
        <w:rPr>
          <w:rFonts w:ascii="华文仿宋" w:eastAsia="华文仿宋" w:hAnsi="华文仿宋" w:cs="Times New Roman" w:hint="eastAsia"/>
          <w:kern w:val="2"/>
          <w:sz w:val="30"/>
          <w:szCs w:val="30"/>
        </w:rPr>
        <w:lastRenderedPageBreak/>
        <w:t>建设；负责对外宣传和新闻工作的组织协调；负责联系、协调所监管企业的工会、青年、妇女工作；指导所监管企业统战工作；负责处理所监管企业人民群众来信来访，指导、协调所监管企业的信访稳定工作。具体职责如下:</w:t>
      </w:r>
    </w:p>
    <w:p w:rsidR="00957E24" w:rsidRPr="00957E24" w:rsidRDefault="00957E24" w:rsidP="001530F2">
      <w:pPr>
        <w:pStyle w:val="p0"/>
        <w:spacing w:before="0" w:beforeAutospacing="0" w:after="0" w:afterAutospacing="0" w:line="560" w:lineRule="atLeast"/>
        <w:ind w:firstLineChars="250" w:firstLine="75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（一）负责指导监管企业学习和宣传贯彻党的路线方针政策，指导监管企业党委中心组学习和干部职工的思想政治教育。</w:t>
      </w:r>
    </w:p>
    <w:p w:rsidR="00957E24" w:rsidRPr="00957E24" w:rsidRDefault="00957E24" w:rsidP="001530F2">
      <w:pPr>
        <w:pStyle w:val="p0"/>
        <w:spacing w:before="0" w:beforeAutospacing="0" w:after="0" w:afterAutospacing="0" w:line="560" w:lineRule="atLeast"/>
        <w:ind w:firstLineChars="250" w:firstLine="75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（二）负责组织协调有关部门和新闻单位对国资监管工作和监管企业进行宣传报道，指导监管企业加强对内部广播、电视、报刊、网络等传媒的管理。</w:t>
      </w:r>
    </w:p>
    <w:p w:rsidR="00957E24" w:rsidRPr="00957E24" w:rsidRDefault="00957E24"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（三）负责指导监管企业推进企业文化建设、思想政治工作和精神文明创建活动。 </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（四）负责指导监管企业群团组织依照有关法律和章程开展工作；指导监管企业做好厂务公开、民主管理工作，维护职工合法权益；承担市国资委团委的日常工作。</w:t>
      </w:r>
    </w:p>
    <w:p w:rsidR="00957E24" w:rsidRPr="00957E24" w:rsidRDefault="00957E24"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（五）负责指导监管企业贯彻落实市委关于统战工作的方针、政策，加强监管企业统战工作。</w:t>
      </w:r>
    </w:p>
    <w:p w:rsidR="00957E24" w:rsidRPr="00957E24" w:rsidRDefault="00957E24"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（六）负责监管企业人民群众来信来访的受理、办理和督办工作；协调控制监管企业集体访、非正常访等稳定工作，协调监管企业防范和处理邪教组织工作。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（七）负责指导监管企业信访稳定工作制度建设和队伍建设；调查研究重大信访稳定问题，研究总结监管企业信访稳定工作理论与实践。</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（八）负责承办市委、市政府领导和市信访局交办信访事项的办理或督办工作。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（九）承办委领导交办的其他事项。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十、人事科</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主要职责是：负责委机关并指导所属单位机构编制、人事管理、离退休人员管理服务、教育培训等工作。具体职责如下：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（一）负责拟订委机关（含机关党支部，下同）和所属单位干部管理的制度和办法，并组织实施；归口管理委机关临时聘用、借用工作人员的工作。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（二）负责委机关和所属单位科级及科以下工作人员的录用、任免、考核、奖惩、调配、轮岗、辞退和后备干部队伍建设等工作。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（三）负责委机关和所属单位的机构、编制管理工作；负责委机关和所属单位工作人员和离退休人员的人事档案管理和干部、工资统计报表的汇总上报工作。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（四）负责委机关和所属单位领导干部收入申报和领导干部报告个人有关事项等干部监督工作；负责委机关和所属单位工作人员的工资等工作。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（五）负责汇总、编报以市国资委党委、市国资委名义表彰先进的年度计划，并做好有关送审和报备工作。</w:t>
      </w:r>
    </w:p>
    <w:p w:rsidR="00957E24" w:rsidRPr="00957E24" w:rsidRDefault="00957E24" w:rsidP="00957E24">
      <w:pPr>
        <w:pStyle w:val="p0"/>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（六）负责拟订委机关和所属单位工作人员培训计划并组织实施;负责委机关和所属单位工作人员因公出国留学、境内外进修和挂职锻炼的有关工作。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（七）负责委机关和所属单位因公（私）出国（境）人员的出国政审、报批工作。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（八）负责委机关并指导所属单位离退休人员的管理服务工作。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（九）承办机关党支部日常工作。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（十）承办委领导交办的其他事项。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十一、机关党支部</w:t>
      </w:r>
    </w:p>
    <w:p w:rsidR="00957E24" w:rsidRPr="00957E24" w:rsidRDefault="00957E24" w:rsidP="00957E24">
      <w:pPr>
        <w:pStyle w:val="p0"/>
        <w:shd w:val="clear" w:color="auto" w:fill="FFFFFF"/>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主要职责是：负责委机关和所属单位的党群工作。具体职责如下：</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（一）负责宣传和执行党的路线、方针、政策和市委、市直机关工委、市国资委党委的决议。</w:t>
      </w:r>
    </w:p>
    <w:p w:rsidR="00957E24" w:rsidRPr="00957E24" w:rsidRDefault="00957E24" w:rsidP="00957E24">
      <w:pPr>
        <w:pStyle w:val="p0"/>
        <w:shd w:val="clear" w:color="auto" w:fill="FFFFFF"/>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（二）负责委机关和所属单位的政治理论学习，拟订理论中心组学习计划，组织委机关及所属单位的党员政治理论学习。</w:t>
      </w:r>
    </w:p>
    <w:p w:rsidR="00957E24" w:rsidRPr="00957E24" w:rsidRDefault="00957E24" w:rsidP="00957E24">
      <w:pPr>
        <w:pStyle w:val="p0"/>
        <w:shd w:val="clear" w:color="auto" w:fill="FFFFFF"/>
        <w:spacing w:before="0" w:beforeAutospacing="0" w:after="0" w:afterAutospacing="0" w:line="560" w:lineRule="atLeast"/>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 xml:space="preserve">  （三）负责围绕中心工作，开展富有特色的党内主题实践活动，为广大党员发挥先锋模范作用创造载体，搭建平台，促进各项工作。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（四）负责委机关和所属单位党的组织建设，对党员进行严格管理，严格党的组织生活，督促党员履行义务，保障党员的权利不受侵犯。</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（五）负责对委机关及所属单位入党积极分子进行教育、培养和考察，做好党员发展、党费收缴及党内统计工作。</w:t>
      </w:r>
    </w:p>
    <w:p w:rsidR="00957E24" w:rsidRPr="00957E24" w:rsidRDefault="00957E24" w:rsidP="00957E24">
      <w:pPr>
        <w:pStyle w:val="p0"/>
        <w:shd w:val="clear" w:color="auto" w:fill="FFFFFF"/>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lastRenderedPageBreak/>
        <w:t>（六）负责委机关和所属单位工作人员的思想政治工作，帮助机关工作人员解决实际困难。</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（七）负责按照党组织的隶属关系，领导所属单位党的工作。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（八）负责参与委机关和所属单位党员干部的考核与民主评议工作。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（九）负责领导委机关和所属单位的统战和群众工作，指导群众组织依照各自的章程独立负责地开展工作。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（十）负责委文明机关创建领导小组办公室的工作。</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（十一）负责委机关和所属单位计划生育管理工作。</w:t>
      </w:r>
    </w:p>
    <w:p w:rsidR="00957E24" w:rsidRPr="00957E24" w:rsidRDefault="00957E24" w:rsidP="00957E24">
      <w:pPr>
        <w:pStyle w:val="p0"/>
        <w:spacing w:before="0" w:beforeAutospacing="0" w:after="0" w:afterAutospacing="0" w:line="560" w:lineRule="atLeast"/>
        <w:ind w:firstLine="645"/>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（十二）承办上级党组织和国资委党委交办的其他事项。</w:t>
      </w:r>
    </w:p>
    <w:p w:rsidR="00957E24" w:rsidRPr="006C3664" w:rsidRDefault="00957E24" w:rsidP="00957E24">
      <w:pPr>
        <w:pStyle w:val="p0"/>
        <w:spacing w:before="0" w:beforeAutospacing="0" w:after="0" w:afterAutospacing="0" w:line="560" w:lineRule="atLeast"/>
        <w:ind w:firstLine="640"/>
        <w:rPr>
          <w:rFonts w:ascii="华文仿宋" w:eastAsia="华文仿宋" w:hAnsi="华文仿宋" w:cs="Times New Roman"/>
          <w:b/>
          <w:kern w:val="2"/>
          <w:sz w:val="30"/>
          <w:szCs w:val="30"/>
        </w:rPr>
      </w:pPr>
      <w:r w:rsidRPr="006C3664">
        <w:rPr>
          <w:rFonts w:ascii="华文仿宋" w:eastAsia="华文仿宋" w:hAnsi="华文仿宋" w:cs="Times New Roman" w:hint="eastAsia"/>
          <w:b/>
          <w:kern w:val="2"/>
          <w:sz w:val="30"/>
          <w:szCs w:val="30"/>
        </w:rPr>
        <w:t>监事和财务总监工作办公室</w:t>
      </w:r>
    </w:p>
    <w:p w:rsidR="00957E24" w:rsidRPr="00957E24" w:rsidRDefault="00957E24"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sidRPr="00957E24">
        <w:rPr>
          <w:rFonts w:ascii="华文仿宋" w:eastAsia="华文仿宋" w:hAnsi="华文仿宋" w:cs="Times New Roman" w:hint="eastAsia"/>
          <w:kern w:val="2"/>
          <w:sz w:val="30"/>
          <w:szCs w:val="30"/>
        </w:rPr>
        <w:t>主要职责是：贯彻执行国家、省关于国有资产监督管理的法律、法规和方针、政策；研究拟定市管企业监事、财务总监的管理办法和工作制度；负责监事和财务总监的日常管理和后勤保障工作；参与监事、财务总监的选聘、委派、考核等工作。具体职责如下：</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一</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、拟订监事会、财务总监工作规章制度并组织实施。</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二</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、参与监事会成员和财务总监的选聘、委派（推荐）、考核评价；负责监事会成员和财务总监的培训和日常管理工作。</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三</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、参与拟定派驻监事会、财务总监企业名单和各监事会的人员组成方案。</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四</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、负责兼职监事人选的审核、备案工作。</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lastRenderedPageBreak/>
        <w:t>（</w:t>
      </w:r>
      <w:r w:rsidR="00957E24" w:rsidRPr="00957E24">
        <w:rPr>
          <w:rFonts w:ascii="华文仿宋" w:eastAsia="华文仿宋" w:hAnsi="华文仿宋" w:cs="Times New Roman" w:hint="eastAsia"/>
          <w:kern w:val="2"/>
          <w:sz w:val="30"/>
          <w:szCs w:val="30"/>
        </w:rPr>
        <w:t>五</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、负责审核监事会和财务总监年度监督检查和专项监督检查工作计划。</w:t>
      </w:r>
    </w:p>
    <w:p w:rsidR="00957E24" w:rsidRPr="00957E24" w:rsidRDefault="001530F2" w:rsidP="00957E24">
      <w:pPr>
        <w:pStyle w:val="p0"/>
        <w:spacing w:before="0" w:beforeAutospacing="0" w:after="0" w:afterAutospacing="0" w:line="560" w:lineRule="atLeast"/>
        <w:ind w:firstLine="64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六</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监督指导监事会、财务总监的业务工作，听取监事会、财务总监的工作汇报；负责监事会、财务总监监督检查报告和重大事项报告的审核、报送、汇总、批复和归档工作；跟踪检查监事会、财务总监监督检查报告成果的落实和利用。</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七</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、受理派驻监事会、财务总监的企业对监事会成员、财务总监的投诉和申诉。</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八</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、负责监事会和财务总监工作的信息、调研和宣传工作。</w:t>
      </w:r>
    </w:p>
    <w:p w:rsidR="00957E24" w:rsidRPr="00957E2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九</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、负责监事会和财务总监的监督检查业务及技术支持工作，为监事会和财务总监工作提供行政和后勤保障；协调监事会、财务总监与委内外有关单位的工作联系。</w:t>
      </w:r>
    </w:p>
    <w:p w:rsidR="00957E24" w:rsidRPr="006C3664" w:rsidRDefault="001530F2" w:rsidP="001530F2">
      <w:pPr>
        <w:pStyle w:val="p0"/>
        <w:spacing w:before="0" w:beforeAutospacing="0" w:after="0" w:afterAutospacing="0" w:line="560" w:lineRule="atLeast"/>
        <w:ind w:firstLineChars="200" w:firstLine="600"/>
        <w:rPr>
          <w:rFonts w:ascii="华文仿宋" w:eastAsia="华文仿宋" w:hAnsi="华文仿宋" w:cs="Times New Roman"/>
          <w:kern w:val="2"/>
          <w:sz w:val="30"/>
          <w:szCs w:val="30"/>
        </w:rPr>
      </w:pP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十</w:t>
      </w:r>
      <w:r>
        <w:rPr>
          <w:rFonts w:ascii="华文仿宋" w:eastAsia="华文仿宋" w:hAnsi="华文仿宋" w:cs="Times New Roman" w:hint="eastAsia"/>
          <w:kern w:val="2"/>
          <w:sz w:val="30"/>
          <w:szCs w:val="30"/>
        </w:rPr>
        <w:t>）</w:t>
      </w:r>
      <w:r w:rsidR="00957E24" w:rsidRPr="00957E24">
        <w:rPr>
          <w:rFonts w:ascii="华文仿宋" w:eastAsia="华文仿宋" w:hAnsi="华文仿宋" w:cs="Times New Roman" w:hint="eastAsia"/>
          <w:kern w:val="2"/>
          <w:sz w:val="30"/>
          <w:szCs w:val="30"/>
        </w:rPr>
        <w:t>、承办市国资委交办的其他工作。</w:t>
      </w:r>
    </w:p>
    <w:p w:rsidR="007B7872" w:rsidRDefault="00B641F1" w:rsidP="0065353C">
      <w:pPr>
        <w:spacing w:line="600" w:lineRule="exact"/>
        <w:ind w:firstLineChars="200" w:firstLine="640"/>
        <w:rPr>
          <w:rFonts w:ascii="仿宋_GB2312" w:eastAsia="仿宋_GB2312"/>
          <w:sz w:val="32"/>
          <w:szCs w:val="32"/>
        </w:rPr>
      </w:pPr>
      <w:r w:rsidRPr="00287E57">
        <w:rPr>
          <w:rFonts w:ascii="仿宋_GB2312" w:eastAsia="仿宋_GB2312" w:hint="eastAsia"/>
          <w:sz w:val="32"/>
          <w:szCs w:val="32"/>
        </w:rPr>
        <w:t>3、</w:t>
      </w:r>
      <w:r w:rsidR="007B7872" w:rsidRPr="00287E57">
        <w:rPr>
          <w:rFonts w:ascii="仿宋_GB2312" w:eastAsia="仿宋_GB2312" w:hint="eastAsia"/>
          <w:sz w:val="32"/>
          <w:szCs w:val="32"/>
        </w:rPr>
        <w:t>单位构成</w:t>
      </w:r>
      <w:r w:rsidRPr="00287E57">
        <w:rPr>
          <w:rFonts w:ascii="仿宋_GB2312" w:eastAsia="仿宋_GB2312" w:hint="eastAsia"/>
          <w:sz w:val="32"/>
          <w:szCs w:val="32"/>
        </w:rPr>
        <w:t>。</w:t>
      </w:r>
    </w:p>
    <w:p w:rsidR="00957E24" w:rsidRPr="006C3664" w:rsidRDefault="00957E24" w:rsidP="006C3664">
      <w:pPr>
        <w:rPr>
          <w:rFonts w:ascii="华文仿宋" w:eastAsia="华文仿宋" w:hAnsi="华文仿宋"/>
          <w:sz w:val="30"/>
          <w:szCs w:val="30"/>
        </w:rPr>
      </w:pPr>
      <w:r>
        <w:rPr>
          <w:rFonts w:ascii="华文仿宋" w:eastAsia="华文仿宋" w:hAnsi="华文仿宋" w:hint="eastAsia"/>
          <w:sz w:val="30"/>
          <w:szCs w:val="30"/>
        </w:rPr>
        <w:t>济宁市人民政府国有资产监督管理委员会，济宁市监事和财务总监工作办公室。</w:t>
      </w:r>
    </w:p>
    <w:p w:rsidR="007B7872" w:rsidRPr="00B641F1" w:rsidRDefault="007B7872" w:rsidP="0065353C">
      <w:pPr>
        <w:spacing w:line="600" w:lineRule="exact"/>
        <w:ind w:firstLineChars="200" w:firstLine="600"/>
        <w:rPr>
          <w:rFonts w:ascii="黑体" w:eastAsia="黑体"/>
          <w:sz w:val="30"/>
          <w:szCs w:val="30"/>
        </w:rPr>
      </w:pPr>
      <w:r w:rsidRPr="00B641F1">
        <w:rPr>
          <w:rFonts w:ascii="黑体" w:eastAsia="黑体" w:hint="eastAsia"/>
          <w:sz w:val="30"/>
          <w:szCs w:val="30"/>
        </w:rPr>
        <w:t>二、公开表格</w:t>
      </w:r>
    </w:p>
    <w:p w:rsidR="007B7872" w:rsidRDefault="007B7872" w:rsidP="0065353C">
      <w:pPr>
        <w:spacing w:line="600" w:lineRule="exact"/>
        <w:ind w:firstLineChars="200" w:firstLine="640"/>
        <w:rPr>
          <w:rFonts w:ascii="楷体_GB2312" w:eastAsia="楷体_GB2312"/>
          <w:sz w:val="32"/>
          <w:szCs w:val="32"/>
        </w:rPr>
      </w:pPr>
      <w:r w:rsidRPr="004F6AC3">
        <w:rPr>
          <w:rFonts w:ascii="楷体_GB2312" w:eastAsia="楷体_GB2312" w:hint="eastAsia"/>
          <w:sz w:val="32"/>
          <w:szCs w:val="32"/>
        </w:rPr>
        <w:t>1、2014年收入支出决算总表</w:t>
      </w:r>
    </w:p>
    <w:tbl>
      <w:tblPr>
        <w:tblW w:w="9073" w:type="dxa"/>
        <w:tblLook w:val="04A0"/>
      </w:tblPr>
      <w:tblGrid>
        <w:gridCol w:w="3647"/>
        <w:gridCol w:w="1119"/>
        <w:gridCol w:w="3718"/>
        <w:gridCol w:w="1119"/>
      </w:tblGrid>
      <w:tr w:rsidR="0065353C" w:rsidRPr="0065353C" w:rsidTr="0065353C">
        <w:trPr>
          <w:trHeight w:val="315"/>
        </w:trPr>
        <w:tc>
          <w:tcPr>
            <w:tcW w:w="3647"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仿宋_GB2312" w:eastAsia="仿宋_GB2312" w:hAnsi="宋体" w:cs="宋体"/>
                <w:color w:val="000000"/>
                <w:kern w:val="0"/>
                <w:sz w:val="24"/>
                <w:szCs w:val="24"/>
              </w:rPr>
            </w:pPr>
          </w:p>
        </w:tc>
        <w:tc>
          <w:tcPr>
            <w:tcW w:w="890"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 w:val="24"/>
                <w:szCs w:val="24"/>
              </w:rPr>
            </w:pPr>
          </w:p>
        </w:tc>
        <w:tc>
          <w:tcPr>
            <w:tcW w:w="4536" w:type="dxa"/>
            <w:gridSpan w:val="2"/>
            <w:tcBorders>
              <w:top w:val="nil"/>
              <w:left w:val="nil"/>
              <w:bottom w:val="nil"/>
              <w:right w:val="nil"/>
            </w:tcBorders>
            <w:shd w:val="clear" w:color="auto" w:fill="auto"/>
            <w:noWrap/>
            <w:vAlign w:val="bottom"/>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单位：万元</w:t>
            </w:r>
          </w:p>
        </w:tc>
      </w:tr>
      <w:tr w:rsidR="0065353C" w:rsidRPr="0065353C" w:rsidTr="0065353C">
        <w:trPr>
          <w:trHeight w:val="285"/>
        </w:trPr>
        <w:tc>
          <w:tcPr>
            <w:tcW w:w="453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收入</w:t>
            </w:r>
          </w:p>
        </w:tc>
        <w:tc>
          <w:tcPr>
            <w:tcW w:w="4536" w:type="dxa"/>
            <w:gridSpan w:val="2"/>
            <w:tcBorders>
              <w:top w:val="single" w:sz="4" w:space="0" w:color="auto"/>
              <w:left w:val="nil"/>
              <w:bottom w:val="single" w:sz="4" w:space="0" w:color="auto"/>
              <w:right w:val="single" w:sz="4" w:space="0" w:color="auto"/>
            </w:tcBorders>
            <w:shd w:val="clear" w:color="auto" w:fill="auto"/>
            <w:noWrap/>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支出</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项   目</w:t>
            </w:r>
          </w:p>
        </w:tc>
        <w:tc>
          <w:tcPr>
            <w:tcW w:w="890" w:type="dxa"/>
            <w:tcBorders>
              <w:top w:val="nil"/>
              <w:left w:val="nil"/>
              <w:bottom w:val="single" w:sz="4" w:space="0" w:color="auto"/>
              <w:right w:val="single" w:sz="4" w:space="0" w:color="auto"/>
            </w:tcBorders>
            <w:shd w:val="clear" w:color="auto" w:fill="auto"/>
            <w:noWrap/>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金额</w:t>
            </w:r>
          </w:p>
        </w:tc>
        <w:tc>
          <w:tcPr>
            <w:tcW w:w="3718" w:type="dxa"/>
            <w:tcBorders>
              <w:top w:val="nil"/>
              <w:left w:val="nil"/>
              <w:bottom w:val="single" w:sz="4" w:space="0" w:color="auto"/>
              <w:right w:val="single" w:sz="4" w:space="0" w:color="auto"/>
            </w:tcBorders>
            <w:shd w:val="clear" w:color="auto" w:fill="auto"/>
            <w:noWrap/>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项   目</w:t>
            </w:r>
          </w:p>
        </w:tc>
        <w:tc>
          <w:tcPr>
            <w:tcW w:w="818" w:type="dxa"/>
            <w:tcBorders>
              <w:top w:val="nil"/>
              <w:left w:val="nil"/>
              <w:bottom w:val="single" w:sz="4" w:space="0" w:color="auto"/>
              <w:right w:val="single" w:sz="4" w:space="0" w:color="auto"/>
            </w:tcBorders>
            <w:shd w:val="clear" w:color="auto" w:fill="auto"/>
            <w:noWrap/>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金额</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lastRenderedPageBreak/>
              <w:t>一、财政拨款收入</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r w:rsidR="006C3664">
              <w:rPr>
                <w:rFonts w:ascii="仿宋_GB2312" w:eastAsia="仿宋_GB2312" w:hAnsi="宋体" w:cs="宋体" w:hint="eastAsia"/>
                <w:color w:val="000000"/>
                <w:kern w:val="0"/>
                <w:sz w:val="24"/>
                <w:szCs w:val="24"/>
              </w:rPr>
              <w:t>1560.42</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一、一般公共服务支出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其中：政府性基金</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二、外交支出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二、上级补助收入</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三、国防</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三、事业收入</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四、公共安全支出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四、经营收入</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五、教育支出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五、附属单位上缴收入</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六、科学技术支出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六、其他收入</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七、文化体育与传媒支出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八、社会保障和就业支出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九、医疗卫生与计划生育支出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十、节能环保支出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十一、城乡社区支出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十二、农林水支出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十三、交通运输支出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十四、资源勘探信息等支出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jc w:val="righ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536.63</w:t>
            </w:r>
            <w:r w:rsidR="0065353C"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十五、商业服务业等支出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十六、金融支出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十七、援助其他地区支出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十八、国土资源气象等支出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十九、住房保障支出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二十、粮油物资储备支出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二十一、国债还本付息支出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lastRenderedPageBreak/>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二十二、其他支出</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本年收入合计</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1560.42</w:t>
            </w:r>
            <w:r w:rsidR="0065353C"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本年支出合计</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jc w:val="righ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536.63</w:t>
            </w:r>
            <w:r w:rsidR="0065353C"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用事业基金弥补收支差额</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结余分配</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年初结转和结余</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r w:rsidR="006C3664">
              <w:rPr>
                <w:rFonts w:ascii="仿宋_GB2312" w:eastAsia="仿宋_GB2312" w:hAnsi="宋体" w:cs="宋体" w:hint="eastAsia"/>
                <w:color w:val="000000"/>
                <w:kern w:val="0"/>
                <w:sz w:val="24"/>
                <w:szCs w:val="24"/>
              </w:rPr>
              <w:t>2114.16</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其中：提取职工福利基金</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其中：项目支出结转和结余</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r w:rsidR="006C3664">
              <w:rPr>
                <w:rFonts w:ascii="仿宋_GB2312" w:eastAsia="仿宋_GB2312" w:hAnsi="宋体" w:cs="宋体" w:hint="eastAsia"/>
                <w:color w:val="000000"/>
                <w:kern w:val="0"/>
                <w:sz w:val="24"/>
                <w:szCs w:val="24"/>
              </w:rPr>
              <w:t>1084.31</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转入事业基金</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年末结转和结余</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jc w:val="righ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1084.31</w:t>
            </w:r>
            <w:r w:rsidR="0065353C"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其中：项目支出结转和结余</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jc w:val="righ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1029.84</w:t>
            </w:r>
            <w:r w:rsidR="0065353C"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 xml:space="preserve">　</w:t>
            </w:r>
          </w:p>
        </w:tc>
      </w:tr>
      <w:tr w:rsidR="0065353C" w:rsidRPr="0065353C" w:rsidTr="0065353C">
        <w:trPr>
          <w:trHeight w:val="285"/>
        </w:trPr>
        <w:tc>
          <w:tcPr>
            <w:tcW w:w="3647" w:type="dxa"/>
            <w:tcBorders>
              <w:top w:val="nil"/>
              <w:left w:val="single" w:sz="4" w:space="0" w:color="auto"/>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合计</w:t>
            </w:r>
          </w:p>
        </w:tc>
        <w:tc>
          <w:tcPr>
            <w:tcW w:w="890"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jc w:val="righ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3674.58</w:t>
            </w:r>
            <w:r w:rsidR="0065353C" w:rsidRPr="0065353C">
              <w:rPr>
                <w:rFonts w:ascii="仿宋_GB2312" w:eastAsia="仿宋_GB2312" w:hAnsi="宋体" w:cs="宋体" w:hint="eastAsia"/>
                <w:color w:val="000000"/>
                <w:kern w:val="0"/>
                <w:sz w:val="24"/>
                <w:szCs w:val="24"/>
              </w:rPr>
              <w:t xml:space="preserve">　</w:t>
            </w:r>
          </w:p>
        </w:tc>
        <w:tc>
          <w:tcPr>
            <w:tcW w:w="3718"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合计</w:t>
            </w:r>
          </w:p>
        </w:tc>
        <w:tc>
          <w:tcPr>
            <w:tcW w:w="818" w:type="dxa"/>
            <w:tcBorders>
              <w:top w:val="nil"/>
              <w:left w:val="nil"/>
              <w:bottom w:val="single" w:sz="4" w:space="0" w:color="auto"/>
              <w:right w:val="single" w:sz="4" w:space="0" w:color="auto"/>
            </w:tcBorders>
            <w:shd w:val="clear" w:color="auto" w:fill="auto"/>
            <w:noWrap/>
            <w:vAlign w:val="center"/>
            <w:hideMark/>
          </w:tcPr>
          <w:p w:rsidR="0065353C" w:rsidRPr="0065353C" w:rsidRDefault="006C3664" w:rsidP="0065353C">
            <w:pPr>
              <w:widowControl/>
              <w:jc w:val="righ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1620.95</w:t>
            </w:r>
            <w:r w:rsidR="0065353C" w:rsidRPr="0065353C">
              <w:rPr>
                <w:rFonts w:ascii="仿宋_GB2312" w:eastAsia="仿宋_GB2312" w:hAnsi="宋体" w:cs="宋体" w:hint="eastAsia"/>
                <w:color w:val="000000"/>
                <w:kern w:val="0"/>
                <w:sz w:val="24"/>
                <w:szCs w:val="24"/>
              </w:rPr>
              <w:t xml:space="preserve">　</w:t>
            </w:r>
          </w:p>
        </w:tc>
      </w:tr>
    </w:tbl>
    <w:p w:rsidR="00504CEA" w:rsidRPr="004F6AC3" w:rsidRDefault="007B7872" w:rsidP="0065353C">
      <w:pPr>
        <w:spacing w:line="600" w:lineRule="exact"/>
        <w:ind w:firstLineChars="50" w:firstLine="160"/>
        <w:rPr>
          <w:rFonts w:ascii="楷体_GB2312" w:eastAsia="楷体_GB2312"/>
          <w:sz w:val="32"/>
          <w:szCs w:val="32"/>
        </w:rPr>
      </w:pPr>
      <w:r w:rsidRPr="00B641F1">
        <w:rPr>
          <w:rFonts w:ascii="仿宋_GB2312" w:eastAsia="仿宋_GB2312" w:hint="eastAsia"/>
          <w:sz w:val="32"/>
          <w:szCs w:val="32"/>
        </w:rPr>
        <w:t xml:space="preserve">   </w:t>
      </w:r>
      <w:r w:rsidRPr="004F6AC3">
        <w:rPr>
          <w:rFonts w:ascii="楷体_GB2312" w:eastAsia="楷体_GB2312" w:hint="eastAsia"/>
          <w:sz w:val="32"/>
          <w:szCs w:val="32"/>
        </w:rPr>
        <w:t>2、2014年收入决算表</w:t>
      </w:r>
    </w:p>
    <w:tbl>
      <w:tblPr>
        <w:tblW w:w="9292" w:type="dxa"/>
        <w:tblLook w:val="04A0"/>
      </w:tblPr>
      <w:tblGrid>
        <w:gridCol w:w="457"/>
        <w:gridCol w:w="457"/>
        <w:gridCol w:w="457"/>
        <w:gridCol w:w="1147"/>
        <w:gridCol w:w="1044"/>
        <w:gridCol w:w="1044"/>
        <w:gridCol w:w="992"/>
        <w:gridCol w:w="851"/>
        <w:gridCol w:w="850"/>
        <w:gridCol w:w="1276"/>
        <w:gridCol w:w="769"/>
      </w:tblGrid>
      <w:tr w:rsidR="0065353C" w:rsidRPr="0065353C" w:rsidTr="001D33F9">
        <w:trPr>
          <w:trHeight w:val="315"/>
        </w:trPr>
        <w:tc>
          <w:tcPr>
            <w:tcW w:w="2518" w:type="dxa"/>
            <w:gridSpan w:val="4"/>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1044"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992"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992"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851"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850"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2045" w:type="dxa"/>
            <w:gridSpan w:val="2"/>
            <w:tcBorders>
              <w:top w:val="nil"/>
              <w:left w:val="nil"/>
              <w:bottom w:val="nil"/>
              <w:right w:val="nil"/>
            </w:tcBorders>
            <w:shd w:val="clear" w:color="auto" w:fill="auto"/>
            <w:noWrap/>
            <w:vAlign w:val="bottom"/>
            <w:hideMark/>
          </w:tcPr>
          <w:p w:rsidR="0065353C" w:rsidRPr="0065353C" w:rsidRDefault="0065353C" w:rsidP="0065353C">
            <w:pPr>
              <w:widowControl/>
              <w:rPr>
                <w:rFonts w:ascii="仿宋_GB2312" w:eastAsia="仿宋_GB2312" w:hAnsi="宋体" w:cs="宋体"/>
                <w:color w:val="000000"/>
                <w:kern w:val="0"/>
                <w:sz w:val="24"/>
                <w:szCs w:val="24"/>
              </w:rPr>
            </w:pPr>
            <w:r w:rsidRPr="0065353C">
              <w:rPr>
                <w:rFonts w:ascii="仿宋_GB2312" w:eastAsia="仿宋_GB2312" w:hAnsi="宋体" w:cs="宋体" w:hint="eastAsia"/>
                <w:color w:val="000000"/>
                <w:kern w:val="0"/>
                <w:sz w:val="24"/>
                <w:szCs w:val="24"/>
              </w:rPr>
              <w:t>单位：万元</w:t>
            </w:r>
          </w:p>
        </w:tc>
      </w:tr>
      <w:tr w:rsidR="0065353C" w:rsidRPr="0065353C" w:rsidTr="001D33F9">
        <w:trPr>
          <w:trHeight w:val="855"/>
        </w:trPr>
        <w:tc>
          <w:tcPr>
            <w:tcW w:w="1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科目编码</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科目名称</w:t>
            </w:r>
          </w:p>
        </w:tc>
        <w:tc>
          <w:tcPr>
            <w:tcW w:w="1044"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本年收入合计</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财政拨款收入</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上级补助收入</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事业收入</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经营收入</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附属单位上缴收入</w:t>
            </w:r>
          </w:p>
        </w:tc>
        <w:tc>
          <w:tcPr>
            <w:tcW w:w="769"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其他收入</w:t>
            </w:r>
          </w:p>
        </w:tc>
      </w:tr>
      <w:tr w:rsidR="0065353C" w:rsidRPr="0065353C" w:rsidTr="001D33F9">
        <w:trPr>
          <w:trHeight w:val="285"/>
        </w:trPr>
        <w:tc>
          <w:tcPr>
            <w:tcW w:w="457" w:type="dxa"/>
            <w:vMerge w:val="restart"/>
            <w:tcBorders>
              <w:top w:val="nil"/>
              <w:left w:val="single" w:sz="4" w:space="0" w:color="auto"/>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类</w:t>
            </w:r>
          </w:p>
        </w:tc>
        <w:tc>
          <w:tcPr>
            <w:tcW w:w="457" w:type="dxa"/>
            <w:vMerge w:val="restart"/>
            <w:tcBorders>
              <w:top w:val="nil"/>
              <w:left w:val="single" w:sz="4" w:space="0" w:color="auto"/>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款</w:t>
            </w:r>
          </w:p>
        </w:tc>
        <w:tc>
          <w:tcPr>
            <w:tcW w:w="457" w:type="dxa"/>
            <w:vMerge w:val="restart"/>
            <w:tcBorders>
              <w:top w:val="nil"/>
              <w:left w:val="single" w:sz="4" w:space="0" w:color="auto"/>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项</w:t>
            </w:r>
          </w:p>
        </w:tc>
        <w:tc>
          <w:tcPr>
            <w:tcW w:w="1147" w:type="dxa"/>
            <w:tcBorders>
              <w:top w:val="nil"/>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栏次</w:t>
            </w:r>
          </w:p>
        </w:tc>
        <w:tc>
          <w:tcPr>
            <w:tcW w:w="1044"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1</w:t>
            </w:r>
          </w:p>
        </w:tc>
        <w:tc>
          <w:tcPr>
            <w:tcW w:w="992"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2</w:t>
            </w:r>
          </w:p>
        </w:tc>
        <w:tc>
          <w:tcPr>
            <w:tcW w:w="992"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3</w:t>
            </w:r>
          </w:p>
        </w:tc>
        <w:tc>
          <w:tcPr>
            <w:tcW w:w="851"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4</w:t>
            </w:r>
          </w:p>
        </w:tc>
        <w:tc>
          <w:tcPr>
            <w:tcW w:w="85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5</w:t>
            </w:r>
          </w:p>
        </w:tc>
        <w:tc>
          <w:tcPr>
            <w:tcW w:w="1276"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6</w:t>
            </w:r>
          </w:p>
        </w:tc>
        <w:tc>
          <w:tcPr>
            <w:tcW w:w="769"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7</w:t>
            </w:r>
          </w:p>
        </w:tc>
      </w:tr>
      <w:tr w:rsidR="0065353C" w:rsidRPr="0065353C" w:rsidTr="001D33F9">
        <w:trPr>
          <w:trHeight w:val="270"/>
        </w:trPr>
        <w:tc>
          <w:tcPr>
            <w:tcW w:w="457" w:type="dxa"/>
            <w:vMerge/>
            <w:tcBorders>
              <w:top w:val="nil"/>
              <w:left w:val="single" w:sz="4" w:space="0" w:color="auto"/>
              <w:bottom w:val="single" w:sz="4" w:space="0" w:color="auto"/>
              <w:right w:val="single" w:sz="4" w:space="0" w:color="auto"/>
            </w:tcBorders>
            <w:vAlign w:val="center"/>
            <w:hideMark/>
          </w:tcPr>
          <w:p w:rsidR="0065353C" w:rsidRPr="0065353C" w:rsidRDefault="0065353C" w:rsidP="0065353C">
            <w:pPr>
              <w:widowControl/>
              <w:jc w:val="left"/>
              <w:rPr>
                <w:rFonts w:ascii="仿宋_GB2312" w:eastAsia="仿宋_GB2312" w:hAnsi="宋体" w:cs="宋体"/>
                <w:b/>
                <w:bCs/>
                <w:color w:val="000000"/>
                <w:kern w:val="0"/>
                <w:sz w:val="24"/>
                <w:szCs w:val="24"/>
              </w:rPr>
            </w:pPr>
          </w:p>
        </w:tc>
        <w:tc>
          <w:tcPr>
            <w:tcW w:w="457" w:type="dxa"/>
            <w:vMerge/>
            <w:tcBorders>
              <w:top w:val="nil"/>
              <w:left w:val="single" w:sz="4" w:space="0" w:color="auto"/>
              <w:bottom w:val="single" w:sz="4" w:space="0" w:color="auto"/>
              <w:right w:val="single" w:sz="4" w:space="0" w:color="auto"/>
            </w:tcBorders>
            <w:vAlign w:val="center"/>
            <w:hideMark/>
          </w:tcPr>
          <w:p w:rsidR="0065353C" w:rsidRPr="0065353C" w:rsidRDefault="0065353C" w:rsidP="0065353C">
            <w:pPr>
              <w:widowControl/>
              <w:jc w:val="left"/>
              <w:rPr>
                <w:rFonts w:ascii="仿宋_GB2312" w:eastAsia="仿宋_GB2312" w:hAnsi="宋体" w:cs="宋体"/>
                <w:b/>
                <w:bCs/>
                <w:color w:val="000000"/>
                <w:kern w:val="0"/>
                <w:sz w:val="24"/>
                <w:szCs w:val="24"/>
              </w:rPr>
            </w:pPr>
          </w:p>
        </w:tc>
        <w:tc>
          <w:tcPr>
            <w:tcW w:w="457" w:type="dxa"/>
            <w:vMerge/>
            <w:tcBorders>
              <w:top w:val="nil"/>
              <w:left w:val="single" w:sz="4" w:space="0" w:color="auto"/>
              <w:bottom w:val="single" w:sz="4" w:space="0" w:color="auto"/>
              <w:right w:val="single" w:sz="4" w:space="0" w:color="auto"/>
            </w:tcBorders>
            <w:vAlign w:val="center"/>
            <w:hideMark/>
          </w:tcPr>
          <w:p w:rsidR="0065353C" w:rsidRPr="0065353C" w:rsidRDefault="0065353C" w:rsidP="0065353C">
            <w:pPr>
              <w:widowControl/>
              <w:jc w:val="left"/>
              <w:rPr>
                <w:rFonts w:ascii="仿宋_GB2312" w:eastAsia="仿宋_GB2312" w:hAnsi="宋体" w:cs="宋体"/>
                <w:b/>
                <w:bCs/>
                <w:color w:val="000000"/>
                <w:kern w:val="0"/>
                <w:sz w:val="24"/>
                <w:szCs w:val="24"/>
              </w:rPr>
            </w:pPr>
          </w:p>
        </w:tc>
        <w:tc>
          <w:tcPr>
            <w:tcW w:w="1147" w:type="dxa"/>
            <w:tcBorders>
              <w:top w:val="nil"/>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合计</w:t>
            </w:r>
          </w:p>
        </w:tc>
        <w:tc>
          <w:tcPr>
            <w:tcW w:w="1044"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c>
          <w:tcPr>
            <w:tcW w:w="769" w:type="dxa"/>
            <w:tcBorders>
              <w:top w:val="nil"/>
              <w:left w:val="nil"/>
              <w:bottom w:val="single" w:sz="4" w:space="0" w:color="auto"/>
              <w:right w:val="single" w:sz="4" w:space="0" w:color="auto"/>
            </w:tcBorders>
            <w:shd w:val="clear" w:color="auto" w:fill="auto"/>
            <w:noWrap/>
            <w:vAlign w:val="center"/>
            <w:hideMark/>
          </w:tcPr>
          <w:p w:rsidR="0065353C" w:rsidRPr="0065353C" w:rsidRDefault="0065353C" w:rsidP="0065353C">
            <w:pPr>
              <w:widowControl/>
              <w:jc w:val="right"/>
              <w:rPr>
                <w:rFonts w:ascii="仿宋_GB2312" w:eastAsia="仿宋_GB2312" w:hAnsi="宋体" w:cs="宋体"/>
                <w:b/>
                <w:bCs/>
                <w:color w:val="000000"/>
                <w:kern w:val="0"/>
                <w:sz w:val="22"/>
              </w:rPr>
            </w:pPr>
            <w:r w:rsidRPr="0065353C">
              <w:rPr>
                <w:rFonts w:ascii="仿宋_GB2312" w:eastAsia="仿宋_GB2312" w:hAnsi="宋体" w:cs="宋体" w:hint="eastAsia"/>
                <w:b/>
                <w:bCs/>
                <w:color w:val="000000"/>
                <w:kern w:val="0"/>
                <w:sz w:val="22"/>
              </w:rPr>
              <w:t xml:space="preserve">　</w:t>
            </w:r>
          </w:p>
        </w:tc>
      </w:tr>
      <w:tr w:rsidR="001D33F9" w:rsidRPr="0065353C" w:rsidTr="001D33F9">
        <w:trPr>
          <w:trHeight w:val="270"/>
        </w:trPr>
        <w:tc>
          <w:tcPr>
            <w:tcW w:w="137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3F9" w:rsidRPr="0065353C" w:rsidRDefault="001D33F9" w:rsidP="0065353C">
            <w:pPr>
              <w:widowControl/>
              <w:jc w:val="lef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r>
              <w:rPr>
                <w:rFonts w:ascii="仿宋_GB2312" w:eastAsia="仿宋_GB2312" w:hAnsi="宋体" w:cs="宋体" w:hint="eastAsia"/>
                <w:color w:val="000000"/>
                <w:kern w:val="0"/>
                <w:sz w:val="22"/>
              </w:rPr>
              <w:t>21507</w:t>
            </w:r>
          </w:p>
        </w:tc>
        <w:tc>
          <w:tcPr>
            <w:tcW w:w="1147" w:type="dxa"/>
            <w:tcBorders>
              <w:top w:val="nil"/>
              <w:left w:val="nil"/>
              <w:bottom w:val="single" w:sz="4" w:space="0" w:color="auto"/>
              <w:right w:val="single" w:sz="4" w:space="0" w:color="auto"/>
            </w:tcBorders>
            <w:shd w:val="clear" w:color="auto" w:fill="auto"/>
            <w:noWrap/>
            <w:vAlign w:val="center"/>
            <w:hideMark/>
          </w:tcPr>
          <w:p w:rsidR="001D33F9" w:rsidRPr="001D33F9" w:rsidRDefault="001D33F9" w:rsidP="0065353C">
            <w:pPr>
              <w:widowControl/>
              <w:jc w:val="left"/>
              <w:rPr>
                <w:rFonts w:ascii="仿宋_GB2312" w:eastAsia="仿宋_GB2312" w:hAnsi="宋体" w:cs="宋体"/>
                <w:color w:val="000000"/>
                <w:kern w:val="0"/>
                <w:sz w:val="20"/>
                <w:szCs w:val="20"/>
              </w:rPr>
            </w:pPr>
            <w:r w:rsidRPr="001D33F9">
              <w:rPr>
                <w:rFonts w:ascii="仿宋_GB2312" w:eastAsia="仿宋_GB2312" w:hAnsi="宋体" w:cs="宋体" w:hint="eastAsia"/>
                <w:color w:val="000000"/>
                <w:kern w:val="0"/>
                <w:sz w:val="20"/>
                <w:szCs w:val="20"/>
              </w:rPr>
              <w:t xml:space="preserve">　国有资产监管</w:t>
            </w:r>
          </w:p>
        </w:tc>
        <w:tc>
          <w:tcPr>
            <w:tcW w:w="1044"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Pr>
                <w:rFonts w:ascii="仿宋_GB2312" w:eastAsia="仿宋_GB2312" w:hAnsi="宋体" w:cs="宋体" w:hint="eastAsia"/>
                <w:color w:val="000000"/>
                <w:kern w:val="0"/>
                <w:sz w:val="22"/>
              </w:rPr>
              <w:t>1560.42</w:t>
            </w:r>
            <w:r w:rsidRPr="0065353C">
              <w:rPr>
                <w:rFonts w:ascii="仿宋_GB2312" w:eastAsia="仿宋_GB2312" w:hAnsi="宋体" w:cs="宋体" w:hint="eastAsia"/>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01253E">
            <w:pPr>
              <w:widowControl/>
              <w:jc w:val="right"/>
              <w:rPr>
                <w:rFonts w:ascii="仿宋_GB2312" w:eastAsia="仿宋_GB2312" w:hAnsi="宋体" w:cs="宋体"/>
                <w:color w:val="000000"/>
                <w:kern w:val="0"/>
                <w:sz w:val="22"/>
              </w:rPr>
            </w:pPr>
            <w:r>
              <w:rPr>
                <w:rFonts w:ascii="仿宋_GB2312" w:eastAsia="仿宋_GB2312" w:hAnsi="宋体" w:cs="宋体" w:hint="eastAsia"/>
                <w:color w:val="000000"/>
                <w:kern w:val="0"/>
                <w:sz w:val="22"/>
              </w:rPr>
              <w:t>1560.42</w:t>
            </w:r>
            <w:r w:rsidRPr="0065353C">
              <w:rPr>
                <w:rFonts w:ascii="仿宋_GB2312" w:eastAsia="仿宋_GB2312" w:hAnsi="宋体" w:cs="宋体" w:hint="eastAsia"/>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769"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r>
      <w:tr w:rsidR="001D33F9" w:rsidRPr="0065353C" w:rsidTr="001D33F9">
        <w:trPr>
          <w:trHeight w:val="270"/>
        </w:trPr>
        <w:tc>
          <w:tcPr>
            <w:tcW w:w="137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3F9" w:rsidRPr="0065353C" w:rsidRDefault="001D33F9" w:rsidP="0065353C">
            <w:pPr>
              <w:widowControl/>
              <w:jc w:val="lef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r>
              <w:rPr>
                <w:rFonts w:ascii="仿宋_GB2312" w:eastAsia="仿宋_GB2312" w:hAnsi="宋体" w:cs="宋体" w:hint="eastAsia"/>
                <w:color w:val="000000"/>
                <w:kern w:val="0"/>
                <w:sz w:val="22"/>
              </w:rPr>
              <w:t>2150701</w:t>
            </w:r>
          </w:p>
        </w:tc>
        <w:tc>
          <w:tcPr>
            <w:tcW w:w="1147" w:type="dxa"/>
            <w:tcBorders>
              <w:top w:val="nil"/>
              <w:left w:val="nil"/>
              <w:bottom w:val="single" w:sz="4" w:space="0" w:color="auto"/>
              <w:right w:val="single" w:sz="4" w:space="0" w:color="auto"/>
            </w:tcBorders>
            <w:shd w:val="clear" w:color="auto" w:fill="auto"/>
            <w:noWrap/>
            <w:vAlign w:val="center"/>
            <w:hideMark/>
          </w:tcPr>
          <w:p w:rsidR="001D33F9" w:rsidRPr="001D33F9" w:rsidRDefault="001D33F9" w:rsidP="0065353C">
            <w:pPr>
              <w:widowControl/>
              <w:jc w:val="left"/>
              <w:rPr>
                <w:rFonts w:ascii="仿宋_GB2312" w:eastAsia="仿宋_GB2312" w:hAnsi="宋体" w:cs="宋体"/>
                <w:color w:val="000000"/>
                <w:kern w:val="0"/>
                <w:sz w:val="20"/>
                <w:szCs w:val="20"/>
              </w:rPr>
            </w:pPr>
            <w:r w:rsidRPr="001D33F9">
              <w:rPr>
                <w:rFonts w:ascii="仿宋_GB2312" w:eastAsia="仿宋_GB2312" w:hAnsi="宋体" w:cs="宋体" w:hint="eastAsia"/>
                <w:color w:val="000000"/>
                <w:kern w:val="0"/>
                <w:sz w:val="20"/>
                <w:szCs w:val="20"/>
              </w:rPr>
              <w:t xml:space="preserve">行政运行　</w:t>
            </w:r>
          </w:p>
        </w:tc>
        <w:tc>
          <w:tcPr>
            <w:tcW w:w="1044"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Pr>
                <w:rFonts w:ascii="仿宋_GB2312" w:eastAsia="仿宋_GB2312" w:hAnsi="宋体" w:cs="宋体" w:hint="eastAsia"/>
                <w:color w:val="000000"/>
                <w:kern w:val="0"/>
                <w:sz w:val="22"/>
              </w:rPr>
              <w:t>409.02</w:t>
            </w:r>
            <w:r w:rsidRPr="0065353C">
              <w:rPr>
                <w:rFonts w:ascii="仿宋_GB2312" w:eastAsia="仿宋_GB2312" w:hAnsi="宋体" w:cs="宋体" w:hint="eastAsia"/>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01253E">
            <w:pPr>
              <w:widowControl/>
              <w:jc w:val="right"/>
              <w:rPr>
                <w:rFonts w:ascii="仿宋_GB2312" w:eastAsia="仿宋_GB2312" w:hAnsi="宋体" w:cs="宋体"/>
                <w:color w:val="000000"/>
                <w:kern w:val="0"/>
                <w:sz w:val="22"/>
              </w:rPr>
            </w:pPr>
            <w:r>
              <w:rPr>
                <w:rFonts w:ascii="仿宋_GB2312" w:eastAsia="仿宋_GB2312" w:hAnsi="宋体" w:cs="宋体" w:hint="eastAsia"/>
                <w:color w:val="000000"/>
                <w:kern w:val="0"/>
                <w:sz w:val="22"/>
              </w:rPr>
              <w:t>409.02</w:t>
            </w:r>
            <w:r w:rsidRPr="0065353C">
              <w:rPr>
                <w:rFonts w:ascii="仿宋_GB2312" w:eastAsia="仿宋_GB2312" w:hAnsi="宋体" w:cs="宋体" w:hint="eastAsia"/>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769"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r>
      <w:tr w:rsidR="001D33F9" w:rsidRPr="0065353C" w:rsidTr="001D33F9">
        <w:trPr>
          <w:trHeight w:val="270"/>
        </w:trPr>
        <w:tc>
          <w:tcPr>
            <w:tcW w:w="137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3F9" w:rsidRPr="0065353C" w:rsidRDefault="001D33F9" w:rsidP="0065353C">
            <w:pPr>
              <w:widowControl/>
              <w:jc w:val="lef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r>
              <w:rPr>
                <w:rFonts w:ascii="仿宋_GB2312" w:eastAsia="仿宋_GB2312" w:hAnsi="宋体" w:cs="宋体" w:hint="eastAsia"/>
                <w:color w:val="000000"/>
                <w:kern w:val="0"/>
                <w:sz w:val="22"/>
              </w:rPr>
              <w:t>2150702</w:t>
            </w:r>
          </w:p>
        </w:tc>
        <w:tc>
          <w:tcPr>
            <w:tcW w:w="1147" w:type="dxa"/>
            <w:tcBorders>
              <w:top w:val="nil"/>
              <w:left w:val="nil"/>
              <w:bottom w:val="single" w:sz="4" w:space="0" w:color="auto"/>
              <w:right w:val="single" w:sz="4" w:space="0" w:color="auto"/>
            </w:tcBorders>
            <w:shd w:val="clear" w:color="auto" w:fill="auto"/>
            <w:noWrap/>
            <w:vAlign w:val="center"/>
            <w:hideMark/>
          </w:tcPr>
          <w:p w:rsidR="001D33F9" w:rsidRPr="001D33F9" w:rsidRDefault="001D33F9" w:rsidP="0065353C">
            <w:pPr>
              <w:widowControl/>
              <w:jc w:val="left"/>
              <w:rPr>
                <w:rFonts w:ascii="仿宋_GB2312" w:eastAsia="仿宋_GB2312" w:hAnsi="宋体" w:cs="宋体"/>
                <w:color w:val="000000"/>
                <w:kern w:val="0"/>
                <w:sz w:val="20"/>
                <w:szCs w:val="20"/>
              </w:rPr>
            </w:pPr>
            <w:r w:rsidRPr="001D33F9">
              <w:rPr>
                <w:rFonts w:ascii="仿宋_GB2312" w:eastAsia="仿宋_GB2312" w:hAnsi="宋体" w:cs="宋体" w:hint="eastAsia"/>
                <w:color w:val="000000"/>
                <w:kern w:val="0"/>
                <w:sz w:val="20"/>
                <w:szCs w:val="20"/>
              </w:rPr>
              <w:t xml:space="preserve">一般行政管理事务　</w:t>
            </w:r>
          </w:p>
        </w:tc>
        <w:tc>
          <w:tcPr>
            <w:tcW w:w="1044"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Pr>
                <w:rFonts w:ascii="仿宋_GB2312" w:eastAsia="仿宋_GB2312" w:hAnsi="宋体" w:cs="宋体" w:hint="eastAsia"/>
                <w:color w:val="000000"/>
                <w:kern w:val="0"/>
                <w:sz w:val="22"/>
              </w:rPr>
              <w:t>1151.4</w:t>
            </w:r>
            <w:r w:rsidRPr="0065353C">
              <w:rPr>
                <w:rFonts w:ascii="仿宋_GB2312" w:eastAsia="仿宋_GB2312" w:hAnsi="宋体" w:cs="宋体" w:hint="eastAsia"/>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01253E">
            <w:pPr>
              <w:widowControl/>
              <w:jc w:val="right"/>
              <w:rPr>
                <w:rFonts w:ascii="仿宋_GB2312" w:eastAsia="仿宋_GB2312" w:hAnsi="宋体" w:cs="宋体"/>
                <w:color w:val="000000"/>
                <w:kern w:val="0"/>
                <w:sz w:val="22"/>
              </w:rPr>
            </w:pPr>
            <w:r>
              <w:rPr>
                <w:rFonts w:ascii="仿宋_GB2312" w:eastAsia="仿宋_GB2312" w:hAnsi="宋体" w:cs="宋体" w:hint="eastAsia"/>
                <w:color w:val="000000"/>
                <w:kern w:val="0"/>
                <w:sz w:val="22"/>
              </w:rPr>
              <w:t>1151.4</w:t>
            </w:r>
            <w:r w:rsidRPr="0065353C">
              <w:rPr>
                <w:rFonts w:ascii="仿宋_GB2312" w:eastAsia="仿宋_GB2312" w:hAnsi="宋体" w:cs="宋体" w:hint="eastAsia"/>
                <w:color w:val="000000"/>
                <w:kern w:val="0"/>
                <w:sz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c>
          <w:tcPr>
            <w:tcW w:w="769"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p>
        </w:tc>
      </w:tr>
    </w:tbl>
    <w:p w:rsidR="001D33F9" w:rsidRDefault="001D33F9" w:rsidP="0082653B">
      <w:pPr>
        <w:spacing w:line="600" w:lineRule="exact"/>
        <w:ind w:firstLine="602"/>
        <w:jc w:val="left"/>
        <w:rPr>
          <w:rFonts w:ascii="楷体_GB2312" w:eastAsia="楷体_GB2312" w:hint="eastAsia"/>
          <w:sz w:val="32"/>
          <w:szCs w:val="32"/>
        </w:rPr>
      </w:pPr>
    </w:p>
    <w:p w:rsidR="00246365" w:rsidRDefault="00246365" w:rsidP="0082653B">
      <w:pPr>
        <w:spacing w:line="600" w:lineRule="exact"/>
        <w:ind w:firstLine="602"/>
        <w:jc w:val="left"/>
        <w:rPr>
          <w:rFonts w:ascii="楷体_GB2312" w:eastAsia="楷体_GB2312"/>
          <w:sz w:val="32"/>
          <w:szCs w:val="32"/>
        </w:rPr>
      </w:pPr>
      <w:r w:rsidRPr="004F6AC3">
        <w:rPr>
          <w:rFonts w:ascii="楷体_GB2312" w:eastAsia="楷体_GB2312" w:hint="eastAsia"/>
          <w:sz w:val="32"/>
          <w:szCs w:val="32"/>
        </w:rPr>
        <w:t>3、2014年支出决算表</w:t>
      </w:r>
    </w:p>
    <w:tbl>
      <w:tblPr>
        <w:tblW w:w="9084" w:type="dxa"/>
        <w:tblLook w:val="04A0"/>
      </w:tblPr>
      <w:tblGrid>
        <w:gridCol w:w="457"/>
        <w:gridCol w:w="460"/>
        <w:gridCol w:w="460"/>
        <w:gridCol w:w="1141"/>
        <w:gridCol w:w="936"/>
        <w:gridCol w:w="1275"/>
        <w:gridCol w:w="1276"/>
        <w:gridCol w:w="992"/>
        <w:gridCol w:w="709"/>
        <w:gridCol w:w="1463"/>
      </w:tblGrid>
      <w:tr w:rsidR="0065353C" w:rsidRPr="0065353C" w:rsidTr="001D33F9">
        <w:trPr>
          <w:trHeight w:val="315"/>
        </w:trPr>
        <w:tc>
          <w:tcPr>
            <w:tcW w:w="457"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460"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460"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1141"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851"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1275"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1276"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992" w:type="dxa"/>
            <w:tcBorders>
              <w:top w:val="nil"/>
              <w:left w:val="nil"/>
              <w:bottom w:val="nil"/>
              <w:right w:val="nil"/>
            </w:tcBorders>
            <w:shd w:val="clear" w:color="auto" w:fill="auto"/>
            <w:noWrap/>
            <w:vAlign w:val="bottom"/>
            <w:hideMark/>
          </w:tcPr>
          <w:p w:rsidR="0065353C" w:rsidRPr="0065353C" w:rsidRDefault="0065353C" w:rsidP="0065353C">
            <w:pPr>
              <w:widowControl/>
              <w:jc w:val="left"/>
              <w:rPr>
                <w:rFonts w:ascii="Calibri" w:eastAsia="宋体" w:hAnsi="Calibri" w:cs="宋体"/>
                <w:color w:val="000000"/>
                <w:kern w:val="0"/>
                <w:szCs w:val="21"/>
              </w:rPr>
            </w:pPr>
          </w:p>
        </w:tc>
        <w:tc>
          <w:tcPr>
            <w:tcW w:w="2172" w:type="dxa"/>
            <w:gridSpan w:val="2"/>
            <w:tcBorders>
              <w:top w:val="nil"/>
              <w:left w:val="nil"/>
              <w:bottom w:val="nil"/>
              <w:right w:val="nil"/>
            </w:tcBorders>
            <w:shd w:val="clear" w:color="auto" w:fill="auto"/>
            <w:noWrap/>
            <w:vAlign w:val="bottom"/>
            <w:hideMark/>
          </w:tcPr>
          <w:p w:rsidR="0065353C" w:rsidRPr="0065353C" w:rsidRDefault="0065353C" w:rsidP="0065353C">
            <w:pPr>
              <w:widowControl/>
              <w:jc w:val="center"/>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r w:rsidRPr="0065353C">
              <w:rPr>
                <w:rFonts w:ascii="仿宋_GB2312" w:eastAsia="仿宋_GB2312" w:hAnsi="宋体" w:cs="宋体" w:hint="eastAsia"/>
                <w:color w:val="000000"/>
                <w:kern w:val="0"/>
                <w:sz w:val="24"/>
                <w:szCs w:val="24"/>
              </w:rPr>
              <w:t>单位：万元</w:t>
            </w:r>
          </w:p>
        </w:tc>
      </w:tr>
      <w:tr w:rsidR="0082653B" w:rsidRPr="0065353C" w:rsidTr="001D33F9">
        <w:trPr>
          <w:trHeight w:val="285"/>
        </w:trPr>
        <w:tc>
          <w:tcPr>
            <w:tcW w:w="13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科目编码</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科目名称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本年支出合计</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基本支出</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项目支出</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上缴上级支出</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经营支出</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65353C" w:rsidRPr="0065353C" w:rsidRDefault="0065353C"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对附属单位补助支出</w:t>
            </w:r>
          </w:p>
        </w:tc>
      </w:tr>
      <w:tr w:rsidR="0082653B" w:rsidRPr="0065353C" w:rsidTr="001D33F9">
        <w:trPr>
          <w:trHeight w:val="285"/>
        </w:trPr>
        <w:tc>
          <w:tcPr>
            <w:tcW w:w="457" w:type="dxa"/>
            <w:vMerge w:val="restart"/>
            <w:tcBorders>
              <w:top w:val="nil"/>
              <w:left w:val="single" w:sz="4" w:space="0" w:color="auto"/>
              <w:right w:val="single" w:sz="4" w:space="0" w:color="auto"/>
            </w:tcBorders>
            <w:shd w:val="clear" w:color="auto" w:fill="auto"/>
            <w:vAlign w:val="center"/>
            <w:hideMark/>
          </w:tcPr>
          <w:p w:rsidR="0082653B" w:rsidRPr="0065353C" w:rsidRDefault="0082653B" w:rsidP="0082653B">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类</w:t>
            </w:r>
          </w:p>
        </w:tc>
        <w:tc>
          <w:tcPr>
            <w:tcW w:w="460" w:type="dxa"/>
            <w:vMerge w:val="restart"/>
            <w:tcBorders>
              <w:top w:val="nil"/>
              <w:left w:val="nil"/>
              <w:right w:val="single" w:sz="4" w:space="0" w:color="auto"/>
            </w:tcBorders>
            <w:shd w:val="clear" w:color="auto" w:fill="auto"/>
            <w:vAlign w:val="center"/>
            <w:hideMark/>
          </w:tcPr>
          <w:p w:rsidR="0082653B" w:rsidRPr="0065353C" w:rsidRDefault="0082653B" w:rsidP="0082653B">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款</w:t>
            </w:r>
          </w:p>
        </w:tc>
        <w:tc>
          <w:tcPr>
            <w:tcW w:w="460" w:type="dxa"/>
            <w:vMerge w:val="restart"/>
            <w:tcBorders>
              <w:top w:val="nil"/>
              <w:left w:val="nil"/>
              <w:right w:val="single" w:sz="4" w:space="0" w:color="auto"/>
            </w:tcBorders>
            <w:shd w:val="clear" w:color="auto" w:fill="auto"/>
            <w:vAlign w:val="center"/>
            <w:hideMark/>
          </w:tcPr>
          <w:p w:rsidR="0082653B" w:rsidRPr="0065353C" w:rsidRDefault="0082653B" w:rsidP="0082653B">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项</w:t>
            </w:r>
          </w:p>
        </w:tc>
        <w:tc>
          <w:tcPr>
            <w:tcW w:w="1141" w:type="dxa"/>
            <w:tcBorders>
              <w:top w:val="nil"/>
              <w:left w:val="nil"/>
              <w:bottom w:val="single" w:sz="4" w:space="0" w:color="auto"/>
              <w:right w:val="single" w:sz="4" w:space="0" w:color="auto"/>
            </w:tcBorders>
            <w:shd w:val="clear" w:color="auto" w:fill="auto"/>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栏次</w:t>
            </w:r>
          </w:p>
        </w:tc>
        <w:tc>
          <w:tcPr>
            <w:tcW w:w="851"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3</w:t>
            </w:r>
          </w:p>
        </w:tc>
        <w:tc>
          <w:tcPr>
            <w:tcW w:w="992"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4</w:t>
            </w:r>
          </w:p>
        </w:tc>
        <w:tc>
          <w:tcPr>
            <w:tcW w:w="709"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5</w:t>
            </w:r>
          </w:p>
        </w:tc>
        <w:tc>
          <w:tcPr>
            <w:tcW w:w="1463"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6</w:t>
            </w:r>
          </w:p>
        </w:tc>
      </w:tr>
      <w:tr w:rsidR="0082653B" w:rsidRPr="0065353C" w:rsidTr="001D33F9">
        <w:trPr>
          <w:trHeight w:val="285"/>
        </w:trPr>
        <w:tc>
          <w:tcPr>
            <w:tcW w:w="457" w:type="dxa"/>
            <w:vMerge/>
            <w:tcBorders>
              <w:left w:val="single" w:sz="4" w:space="0" w:color="auto"/>
              <w:bottom w:val="single" w:sz="4" w:space="0" w:color="auto"/>
              <w:right w:val="single" w:sz="4" w:space="0" w:color="auto"/>
            </w:tcBorders>
            <w:shd w:val="clear" w:color="auto" w:fill="auto"/>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p>
        </w:tc>
        <w:tc>
          <w:tcPr>
            <w:tcW w:w="460" w:type="dxa"/>
            <w:vMerge/>
            <w:tcBorders>
              <w:left w:val="nil"/>
              <w:bottom w:val="single" w:sz="4" w:space="0" w:color="auto"/>
              <w:right w:val="single" w:sz="4" w:space="0" w:color="auto"/>
            </w:tcBorders>
            <w:shd w:val="clear" w:color="auto" w:fill="auto"/>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p>
        </w:tc>
        <w:tc>
          <w:tcPr>
            <w:tcW w:w="460" w:type="dxa"/>
            <w:vMerge/>
            <w:tcBorders>
              <w:left w:val="nil"/>
              <w:bottom w:val="single" w:sz="4" w:space="0" w:color="auto"/>
              <w:right w:val="single" w:sz="4" w:space="0" w:color="auto"/>
            </w:tcBorders>
            <w:shd w:val="clear" w:color="auto" w:fill="auto"/>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p>
        </w:tc>
        <w:tc>
          <w:tcPr>
            <w:tcW w:w="1141" w:type="dxa"/>
            <w:tcBorders>
              <w:top w:val="nil"/>
              <w:left w:val="nil"/>
              <w:bottom w:val="single" w:sz="4" w:space="0" w:color="auto"/>
              <w:right w:val="single" w:sz="4" w:space="0" w:color="auto"/>
            </w:tcBorders>
            <w:shd w:val="clear" w:color="auto" w:fill="auto"/>
            <w:vAlign w:val="center"/>
            <w:hideMark/>
          </w:tcPr>
          <w:p w:rsidR="0082653B" w:rsidRPr="0065353C" w:rsidRDefault="0082653B" w:rsidP="0065353C">
            <w:pPr>
              <w:widowControl/>
              <w:jc w:val="center"/>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合计</w:t>
            </w:r>
          </w:p>
        </w:tc>
        <w:tc>
          <w:tcPr>
            <w:tcW w:w="851"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right"/>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right"/>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right"/>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right"/>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right"/>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c>
          <w:tcPr>
            <w:tcW w:w="1463" w:type="dxa"/>
            <w:tcBorders>
              <w:top w:val="nil"/>
              <w:left w:val="nil"/>
              <w:bottom w:val="single" w:sz="4" w:space="0" w:color="auto"/>
              <w:right w:val="single" w:sz="4" w:space="0" w:color="auto"/>
            </w:tcBorders>
            <w:shd w:val="clear" w:color="auto" w:fill="auto"/>
            <w:noWrap/>
            <w:vAlign w:val="center"/>
            <w:hideMark/>
          </w:tcPr>
          <w:p w:rsidR="0082653B" w:rsidRPr="0065353C" w:rsidRDefault="0082653B" w:rsidP="0065353C">
            <w:pPr>
              <w:widowControl/>
              <w:jc w:val="right"/>
              <w:rPr>
                <w:rFonts w:ascii="仿宋_GB2312" w:eastAsia="仿宋_GB2312" w:hAnsi="宋体" w:cs="宋体"/>
                <w:b/>
                <w:bCs/>
                <w:color w:val="000000"/>
                <w:kern w:val="0"/>
                <w:sz w:val="24"/>
                <w:szCs w:val="24"/>
              </w:rPr>
            </w:pPr>
            <w:r w:rsidRPr="0065353C">
              <w:rPr>
                <w:rFonts w:ascii="仿宋_GB2312" w:eastAsia="仿宋_GB2312" w:hAnsi="宋体" w:cs="宋体" w:hint="eastAsia"/>
                <w:b/>
                <w:bCs/>
                <w:color w:val="000000"/>
                <w:kern w:val="0"/>
                <w:sz w:val="24"/>
                <w:szCs w:val="24"/>
              </w:rPr>
              <w:t xml:space="preserve">　</w:t>
            </w:r>
          </w:p>
        </w:tc>
      </w:tr>
      <w:tr w:rsidR="001D33F9" w:rsidRPr="0065353C" w:rsidTr="001D33F9">
        <w:trPr>
          <w:trHeight w:val="285"/>
        </w:trPr>
        <w:tc>
          <w:tcPr>
            <w:tcW w:w="1377" w:type="dxa"/>
            <w:gridSpan w:val="3"/>
            <w:tcBorders>
              <w:top w:val="nil"/>
              <w:left w:val="single" w:sz="4" w:space="0" w:color="auto"/>
              <w:bottom w:val="single" w:sz="4" w:space="0" w:color="auto"/>
              <w:right w:val="single" w:sz="4" w:space="0" w:color="auto"/>
            </w:tcBorders>
            <w:shd w:val="clear" w:color="auto" w:fill="auto"/>
            <w:noWrap/>
            <w:vAlign w:val="center"/>
            <w:hideMark/>
          </w:tcPr>
          <w:p w:rsidR="001D33F9" w:rsidRPr="0065353C" w:rsidRDefault="001D33F9" w:rsidP="0001253E">
            <w:pPr>
              <w:widowControl/>
              <w:jc w:val="lef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r>
              <w:rPr>
                <w:rFonts w:ascii="仿宋_GB2312" w:eastAsia="仿宋_GB2312" w:hAnsi="宋体" w:cs="宋体" w:hint="eastAsia"/>
                <w:color w:val="000000"/>
                <w:kern w:val="0"/>
                <w:sz w:val="22"/>
              </w:rPr>
              <w:t>21507</w:t>
            </w:r>
          </w:p>
        </w:tc>
        <w:tc>
          <w:tcPr>
            <w:tcW w:w="1141" w:type="dxa"/>
            <w:tcBorders>
              <w:top w:val="nil"/>
              <w:left w:val="nil"/>
              <w:bottom w:val="single" w:sz="4" w:space="0" w:color="auto"/>
              <w:right w:val="single" w:sz="4" w:space="0" w:color="auto"/>
            </w:tcBorders>
            <w:shd w:val="clear" w:color="auto" w:fill="auto"/>
            <w:noWrap/>
            <w:vAlign w:val="center"/>
            <w:hideMark/>
          </w:tcPr>
          <w:p w:rsidR="001D33F9" w:rsidRPr="001D33F9" w:rsidRDefault="001D33F9" w:rsidP="0001253E">
            <w:pPr>
              <w:widowControl/>
              <w:jc w:val="left"/>
              <w:rPr>
                <w:rFonts w:ascii="仿宋_GB2312" w:eastAsia="仿宋_GB2312" w:hAnsi="宋体" w:cs="宋体"/>
                <w:color w:val="000000"/>
                <w:kern w:val="0"/>
                <w:sz w:val="20"/>
                <w:szCs w:val="20"/>
              </w:rPr>
            </w:pPr>
            <w:r w:rsidRPr="001D33F9">
              <w:rPr>
                <w:rFonts w:ascii="仿宋_GB2312" w:eastAsia="仿宋_GB2312" w:hAnsi="宋体" w:cs="宋体" w:hint="eastAsia"/>
                <w:color w:val="000000"/>
                <w:kern w:val="0"/>
                <w:sz w:val="20"/>
                <w:szCs w:val="20"/>
              </w:rPr>
              <w:t xml:space="preserve">　国有资产监管</w:t>
            </w:r>
          </w:p>
        </w:tc>
        <w:tc>
          <w:tcPr>
            <w:tcW w:w="851"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Pr>
                <w:rFonts w:ascii="宋体" w:eastAsia="宋体" w:hAnsi="宋体" w:cs="宋体" w:hint="eastAsia"/>
                <w:color w:val="000000"/>
                <w:kern w:val="0"/>
                <w:sz w:val="24"/>
                <w:szCs w:val="24"/>
              </w:rPr>
              <w:t>536.63</w:t>
            </w:r>
            <w:r w:rsidRPr="0065353C">
              <w:rPr>
                <w:rFonts w:ascii="宋体" w:eastAsia="宋体" w:hAnsi="宋体" w:cs="宋体" w:hint="eastAsia"/>
                <w:color w:val="000000"/>
                <w:kern w:val="0"/>
                <w:sz w:val="24"/>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1463"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r>
      <w:tr w:rsidR="001D33F9" w:rsidRPr="0065353C" w:rsidTr="001D33F9">
        <w:trPr>
          <w:trHeight w:val="285"/>
        </w:trPr>
        <w:tc>
          <w:tcPr>
            <w:tcW w:w="1377" w:type="dxa"/>
            <w:gridSpan w:val="3"/>
            <w:tcBorders>
              <w:top w:val="nil"/>
              <w:left w:val="single" w:sz="4" w:space="0" w:color="auto"/>
              <w:bottom w:val="single" w:sz="4" w:space="0" w:color="auto"/>
              <w:right w:val="single" w:sz="4" w:space="0" w:color="auto"/>
            </w:tcBorders>
            <w:shd w:val="clear" w:color="auto" w:fill="auto"/>
            <w:noWrap/>
            <w:vAlign w:val="center"/>
            <w:hideMark/>
          </w:tcPr>
          <w:p w:rsidR="001D33F9" w:rsidRPr="0065353C" w:rsidRDefault="001D33F9" w:rsidP="0001253E">
            <w:pPr>
              <w:widowControl/>
              <w:jc w:val="lef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r>
              <w:rPr>
                <w:rFonts w:ascii="仿宋_GB2312" w:eastAsia="仿宋_GB2312" w:hAnsi="宋体" w:cs="宋体" w:hint="eastAsia"/>
                <w:color w:val="000000"/>
                <w:kern w:val="0"/>
                <w:sz w:val="22"/>
              </w:rPr>
              <w:t>2150701</w:t>
            </w:r>
          </w:p>
        </w:tc>
        <w:tc>
          <w:tcPr>
            <w:tcW w:w="1141" w:type="dxa"/>
            <w:tcBorders>
              <w:top w:val="nil"/>
              <w:left w:val="nil"/>
              <w:bottom w:val="single" w:sz="4" w:space="0" w:color="auto"/>
              <w:right w:val="single" w:sz="4" w:space="0" w:color="auto"/>
            </w:tcBorders>
            <w:shd w:val="clear" w:color="auto" w:fill="auto"/>
            <w:noWrap/>
            <w:vAlign w:val="center"/>
            <w:hideMark/>
          </w:tcPr>
          <w:p w:rsidR="001D33F9" w:rsidRPr="001D33F9" w:rsidRDefault="001D33F9" w:rsidP="0001253E">
            <w:pPr>
              <w:widowControl/>
              <w:jc w:val="left"/>
              <w:rPr>
                <w:rFonts w:ascii="仿宋_GB2312" w:eastAsia="仿宋_GB2312" w:hAnsi="宋体" w:cs="宋体"/>
                <w:color w:val="000000"/>
                <w:kern w:val="0"/>
                <w:sz w:val="20"/>
                <w:szCs w:val="20"/>
              </w:rPr>
            </w:pPr>
            <w:r w:rsidRPr="001D33F9">
              <w:rPr>
                <w:rFonts w:ascii="仿宋_GB2312" w:eastAsia="仿宋_GB2312" w:hAnsi="宋体" w:cs="宋体" w:hint="eastAsia"/>
                <w:color w:val="000000"/>
                <w:kern w:val="0"/>
                <w:sz w:val="20"/>
                <w:szCs w:val="20"/>
              </w:rPr>
              <w:t xml:space="preserve">行政运行　</w:t>
            </w:r>
          </w:p>
        </w:tc>
        <w:tc>
          <w:tcPr>
            <w:tcW w:w="851"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Pr>
                <w:rFonts w:ascii="宋体" w:eastAsia="宋体" w:hAnsi="宋体" w:cs="宋体" w:hint="eastAsia"/>
                <w:color w:val="000000"/>
                <w:kern w:val="0"/>
                <w:sz w:val="24"/>
                <w:szCs w:val="24"/>
              </w:rPr>
              <w:t>402.53</w:t>
            </w:r>
            <w:r w:rsidRPr="0065353C">
              <w:rPr>
                <w:rFonts w:ascii="宋体" w:eastAsia="宋体" w:hAnsi="宋体" w:cs="宋体" w:hint="eastAsia"/>
                <w:color w:val="000000"/>
                <w:kern w:val="0"/>
                <w:sz w:val="24"/>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Pr>
                <w:rFonts w:ascii="宋体" w:eastAsia="宋体" w:hAnsi="宋体" w:cs="宋体" w:hint="eastAsia"/>
                <w:color w:val="000000"/>
                <w:kern w:val="0"/>
                <w:sz w:val="24"/>
                <w:szCs w:val="24"/>
              </w:rPr>
              <w:t>402.53</w:t>
            </w:r>
            <w:r w:rsidRPr="0065353C">
              <w:rPr>
                <w:rFonts w:ascii="宋体" w:eastAsia="宋体" w:hAnsi="宋体" w:cs="宋体" w:hint="eastAsia"/>
                <w:color w:val="000000"/>
                <w:kern w:val="0"/>
                <w:sz w:val="24"/>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1463"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r>
      <w:tr w:rsidR="001D33F9" w:rsidRPr="0065353C" w:rsidTr="001D33F9">
        <w:trPr>
          <w:trHeight w:val="285"/>
        </w:trPr>
        <w:tc>
          <w:tcPr>
            <w:tcW w:w="1377" w:type="dxa"/>
            <w:gridSpan w:val="3"/>
            <w:tcBorders>
              <w:top w:val="nil"/>
              <w:left w:val="single" w:sz="4" w:space="0" w:color="auto"/>
              <w:bottom w:val="single" w:sz="4" w:space="0" w:color="auto"/>
              <w:right w:val="single" w:sz="4" w:space="0" w:color="auto"/>
            </w:tcBorders>
            <w:shd w:val="clear" w:color="auto" w:fill="auto"/>
            <w:noWrap/>
            <w:vAlign w:val="center"/>
            <w:hideMark/>
          </w:tcPr>
          <w:p w:rsidR="001D33F9" w:rsidRPr="0065353C" w:rsidRDefault="001D33F9" w:rsidP="0001253E">
            <w:pPr>
              <w:widowControl/>
              <w:jc w:val="left"/>
              <w:rPr>
                <w:rFonts w:ascii="仿宋_GB2312" w:eastAsia="仿宋_GB2312" w:hAnsi="宋体" w:cs="宋体"/>
                <w:color w:val="000000"/>
                <w:kern w:val="0"/>
                <w:sz w:val="22"/>
              </w:rPr>
            </w:pPr>
            <w:r w:rsidRPr="0065353C">
              <w:rPr>
                <w:rFonts w:ascii="仿宋_GB2312" w:eastAsia="仿宋_GB2312" w:hAnsi="宋体" w:cs="宋体" w:hint="eastAsia"/>
                <w:color w:val="000000"/>
                <w:kern w:val="0"/>
                <w:sz w:val="22"/>
              </w:rPr>
              <w:t xml:space="preserve">　</w:t>
            </w:r>
            <w:r>
              <w:rPr>
                <w:rFonts w:ascii="仿宋_GB2312" w:eastAsia="仿宋_GB2312" w:hAnsi="宋体" w:cs="宋体" w:hint="eastAsia"/>
                <w:color w:val="000000"/>
                <w:kern w:val="0"/>
                <w:sz w:val="22"/>
              </w:rPr>
              <w:t>2150702</w:t>
            </w:r>
          </w:p>
        </w:tc>
        <w:tc>
          <w:tcPr>
            <w:tcW w:w="1141" w:type="dxa"/>
            <w:tcBorders>
              <w:top w:val="nil"/>
              <w:left w:val="nil"/>
              <w:bottom w:val="single" w:sz="4" w:space="0" w:color="auto"/>
              <w:right w:val="single" w:sz="4" w:space="0" w:color="auto"/>
            </w:tcBorders>
            <w:shd w:val="clear" w:color="auto" w:fill="auto"/>
            <w:noWrap/>
            <w:vAlign w:val="center"/>
            <w:hideMark/>
          </w:tcPr>
          <w:p w:rsidR="001D33F9" w:rsidRPr="001D33F9" w:rsidRDefault="001D33F9" w:rsidP="0001253E">
            <w:pPr>
              <w:widowControl/>
              <w:jc w:val="left"/>
              <w:rPr>
                <w:rFonts w:ascii="仿宋_GB2312" w:eastAsia="仿宋_GB2312" w:hAnsi="宋体" w:cs="宋体"/>
                <w:color w:val="000000"/>
                <w:kern w:val="0"/>
                <w:sz w:val="20"/>
                <w:szCs w:val="20"/>
              </w:rPr>
            </w:pPr>
            <w:r w:rsidRPr="001D33F9">
              <w:rPr>
                <w:rFonts w:ascii="仿宋_GB2312" w:eastAsia="仿宋_GB2312" w:hAnsi="宋体" w:cs="宋体" w:hint="eastAsia"/>
                <w:color w:val="000000"/>
                <w:kern w:val="0"/>
                <w:sz w:val="20"/>
                <w:szCs w:val="20"/>
              </w:rPr>
              <w:t xml:space="preserve">一般行政管理事务　</w:t>
            </w:r>
          </w:p>
        </w:tc>
        <w:tc>
          <w:tcPr>
            <w:tcW w:w="851"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Pr>
                <w:rFonts w:ascii="宋体" w:eastAsia="宋体" w:hAnsi="宋体" w:cs="宋体" w:hint="eastAsia"/>
                <w:color w:val="000000"/>
                <w:kern w:val="0"/>
                <w:sz w:val="24"/>
                <w:szCs w:val="24"/>
              </w:rPr>
              <w:t>134.10</w:t>
            </w:r>
            <w:r w:rsidRPr="0065353C">
              <w:rPr>
                <w:rFonts w:ascii="宋体" w:eastAsia="宋体" w:hAnsi="宋体" w:cs="宋体" w:hint="eastAsia"/>
                <w:color w:val="000000"/>
                <w:kern w:val="0"/>
                <w:sz w:val="24"/>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Pr>
                <w:rFonts w:ascii="宋体" w:eastAsia="宋体" w:hAnsi="宋体" w:cs="宋体" w:hint="eastAsia"/>
                <w:color w:val="000000"/>
                <w:kern w:val="0"/>
                <w:sz w:val="24"/>
                <w:szCs w:val="24"/>
              </w:rPr>
              <w:t>134.10</w:t>
            </w:r>
            <w:r w:rsidRPr="0065353C">
              <w:rPr>
                <w:rFonts w:ascii="宋体" w:eastAsia="宋体" w:hAnsi="宋体" w:cs="宋体" w:hint="eastAsia"/>
                <w:color w:val="000000"/>
                <w:kern w:val="0"/>
                <w:sz w:val="24"/>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c>
          <w:tcPr>
            <w:tcW w:w="1463" w:type="dxa"/>
            <w:tcBorders>
              <w:top w:val="nil"/>
              <w:left w:val="nil"/>
              <w:bottom w:val="single" w:sz="4" w:space="0" w:color="auto"/>
              <w:right w:val="single" w:sz="4" w:space="0" w:color="auto"/>
            </w:tcBorders>
            <w:shd w:val="clear" w:color="auto" w:fill="auto"/>
            <w:noWrap/>
            <w:vAlign w:val="center"/>
            <w:hideMark/>
          </w:tcPr>
          <w:p w:rsidR="001D33F9" w:rsidRPr="0065353C" w:rsidRDefault="001D33F9" w:rsidP="0065353C">
            <w:pPr>
              <w:widowControl/>
              <w:jc w:val="right"/>
              <w:rPr>
                <w:rFonts w:ascii="宋体" w:eastAsia="宋体" w:hAnsi="宋体" w:cs="宋体"/>
                <w:color w:val="000000"/>
                <w:kern w:val="0"/>
                <w:sz w:val="24"/>
                <w:szCs w:val="24"/>
              </w:rPr>
            </w:pPr>
            <w:r w:rsidRPr="0065353C">
              <w:rPr>
                <w:rFonts w:ascii="宋体" w:eastAsia="宋体" w:hAnsi="宋体" w:cs="宋体" w:hint="eastAsia"/>
                <w:color w:val="000000"/>
                <w:kern w:val="0"/>
                <w:sz w:val="24"/>
                <w:szCs w:val="24"/>
              </w:rPr>
              <w:t xml:space="preserve">　</w:t>
            </w:r>
          </w:p>
        </w:tc>
      </w:tr>
    </w:tbl>
    <w:p w:rsidR="00246365" w:rsidRPr="004F6AC3" w:rsidRDefault="00246365" w:rsidP="0065353C">
      <w:pPr>
        <w:spacing w:line="600" w:lineRule="exact"/>
        <w:ind w:firstLineChars="200" w:firstLine="640"/>
        <w:rPr>
          <w:rFonts w:ascii="楷体_GB2312" w:eastAsia="楷体_GB2312"/>
          <w:sz w:val="32"/>
          <w:szCs w:val="32"/>
        </w:rPr>
      </w:pPr>
      <w:r w:rsidRPr="004F6AC3">
        <w:rPr>
          <w:rFonts w:ascii="楷体_GB2312" w:eastAsia="楷体_GB2312" w:hint="eastAsia"/>
          <w:sz w:val="32"/>
          <w:szCs w:val="32"/>
        </w:rPr>
        <w:t>4、2014年公共预算财政拨款“三公”经费支出决算表</w:t>
      </w:r>
    </w:p>
    <w:p w:rsidR="00246365" w:rsidRPr="00287E57" w:rsidRDefault="00246365" w:rsidP="0065353C">
      <w:pPr>
        <w:spacing w:line="600" w:lineRule="exact"/>
        <w:ind w:firstLineChars="3000" w:firstLine="7200"/>
        <w:jc w:val="right"/>
        <w:rPr>
          <w:rFonts w:ascii="仿宋_GB2312" w:eastAsia="仿宋_GB2312"/>
          <w:sz w:val="24"/>
          <w:szCs w:val="24"/>
        </w:rPr>
      </w:pPr>
      <w:r w:rsidRPr="00287E57">
        <w:rPr>
          <w:rFonts w:ascii="仿宋_GB2312" w:eastAsia="仿宋_GB2312" w:hAnsi="宋体" w:cs="宋体" w:hint="eastAsia"/>
          <w:bCs/>
          <w:kern w:val="36"/>
          <w:sz w:val="24"/>
          <w:szCs w:val="24"/>
        </w:rPr>
        <w:t>单位：万元</w:t>
      </w:r>
    </w:p>
    <w:tbl>
      <w:tblPr>
        <w:tblW w:w="9705" w:type="dxa"/>
        <w:tblLayout w:type="fixed"/>
        <w:tblLook w:val="04A0"/>
      </w:tblPr>
      <w:tblGrid>
        <w:gridCol w:w="1123"/>
        <w:gridCol w:w="1702"/>
        <w:gridCol w:w="993"/>
        <w:gridCol w:w="1560"/>
        <w:gridCol w:w="2128"/>
        <w:gridCol w:w="1533"/>
        <w:gridCol w:w="666"/>
      </w:tblGrid>
      <w:tr w:rsidR="00246365" w:rsidRPr="00287E57" w:rsidTr="0082653B">
        <w:trPr>
          <w:trHeight w:val="312"/>
        </w:trPr>
        <w:tc>
          <w:tcPr>
            <w:tcW w:w="1123" w:type="dxa"/>
            <w:vMerge w:val="restart"/>
            <w:tcBorders>
              <w:top w:val="single" w:sz="4" w:space="0" w:color="auto"/>
              <w:left w:val="single" w:sz="4" w:space="0" w:color="auto"/>
              <w:bottom w:val="single" w:sz="4" w:space="0" w:color="auto"/>
              <w:right w:val="nil"/>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总计</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因公出国（境）费</w:t>
            </w:r>
          </w:p>
        </w:tc>
        <w:tc>
          <w:tcPr>
            <w:tcW w:w="4681" w:type="dxa"/>
            <w:gridSpan w:val="3"/>
            <w:vMerge w:val="restart"/>
            <w:tcBorders>
              <w:top w:val="single" w:sz="4" w:space="0" w:color="auto"/>
              <w:left w:val="nil"/>
              <w:bottom w:val="single" w:sz="4" w:space="0" w:color="auto"/>
              <w:right w:val="single" w:sz="4" w:space="0" w:color="auto"/>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公务用车购置和运行维护费</w:t>
            </w:r>
          </w:p>
        </w:tc>
        <w:tc>
          <w:tcPr>
            <w:tcW w:w="1533" w:type="dxa"/>
            <w:vMerge w:val="restart"/>
            <w:tcBorders>
              <w:top w:val="single" w:sz="4" w:space="0" w:color="auto"/>
              <w:left w:val="single" w:sz="4" w:space="0" w:color="auto"/>
              <w:bottom w:val="single" w:sz="4" w:space="0" w:color="auto"/>
              <w:right w:val="single" w:sz="4" w:space="0" w:color="auto"/>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公务接待费</w:t>
            </w:r>
          </w:p>
        </w:tc>
        <w:tc>
          <w:tcPr>
            <w:tcW w:w="666" w:type="dxa"/>
            <w:vAlign w:val="center"/>
            <w:hideMark/>
          </w:tcPr>
          <w:p w:rsidR="00246365" w:rsidRPr="00287E57" w:rsidRDefault="00246365" w:rsidP="0065353C">
            <w:pPr>
              <w:widowControl/>
              <w:spacing w:line="600" w:lineRule="exact"/>
              <w:jc w:val="left"/>
              <w:rPr>
                <w:rFonts w:ascii="仿宋_GB2312" w:eastAsia="仿宋_GB2312" w:cs="宋体"/>
                <w:sz w:val="24"/>
                <w:szCs w:val="24"/>
              </w:rPr>
            </w:pPr>
          </w:p>
        </w:tc>
      </w:tr>
      <w:tr w:rsidR="00246365" w:rsidRPr="00287E57" w:rsidTr="0082653B">
        <w:trPr>
          <w:trHeight w:val="312"/>
        </w:trPr>
        <w:tc>
          <w:tcPr>
            <w:tcW w:w="1123" w:type="dxa"/>
            <w:vMerge/>
            <w:tcBorders>
              <w:top w:val="single" w:sz="4" w:space="0" w:color="auto"/>
              <w:left w:val="single" w:sz="4" w:space="0" w:color="auto"/>
              <w:bottom w:val="single" w:sz="4" w:space="0" w:color="auto"/>
              <w:right w:val="nil"/>
            </w:tcBorders>
            <w:vAlign w:val="center"/>
            <w:hideMark/>
          </w:tcPr>
          <w:p w:rsidR="00246365" w:rsidRPr="00287E57" w:rsidRDefault="00246365" w:rsidP="0065353C">
            <w:pPr>
              <w:widowControl/>
              <w:spacing w:line="600" w:lineRule="exact"/>
              <w:jc w:val="left"/>
              <w:rPr>
                <w:rFonts w:ascii="仿宋_GB2312" w:eastAsia="仿宋_GB2312" w:hAnsi="宋体" w:cs="宋体"/>
                <w:b/>
                <w:kern w:val="0"/>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246365" w:rsidRPr="00287E57" w:rsidRDefault="00246365" w:rsidP="0065353C">
            <w:pPr>
              <w:widowControl/>
              <w:spacing w:line="600" w:lineRule="exact"/>
              <w:jc w:val="left"/>
              <w:rPr>
                <w:rFonts w:ascii="仿宋_GB2312" w:eastAsia="仿宋_GB2312" w:hAnsi="宋体" w:cs="宋体"/>
                <w:b/>
                <w:kern w:val="0"/>
                <w:sz w:val="24"/>
                <w:szCs w:val="24"/>
              </w:rPr>
            </w:pPr>
          </w:p>
        </w:tc>
        <w:tc>
          <w:tcPr>
            <w:tcW w:w="4681" w:type="dxa"/>
            <w:gridSpan w:val="3"/>
            <w:vMerge/>
            <w:tcBorders>
              <w:top w:val="single" w:sz="4" w:space="0" w:color="auto"/>
              <w:left w:val="nil"/>
              <w:bottom w:val="single" w:sz="4" w:space="0" w:color="auto"/>
              <w:right w:val="single" w:sz="4" w:space="0" w:color="auto"/>
            </w:tcBorders>
            <w:vAlign w:val="center"/>
            <w:hideMark/>
          </w:tcPr>
          <w:p w:rsidR="00246365" w:rsidRPr="00287E57" w:rsidRDefault="00246365" w:rsidP="0065353C">
            <w:pPr>
              <w:widowControl/>
              <w:spacing w:line="600" w:lineRule="exact"/>
              <w:jc w:val="left"/>
              <w:rPr>
                <w:rFonts w:ascii="仿宋_GB2312" w:eastAsia="仿宋_GB2312" w:hAnsi="宋体" w:cs="宋体"/>
                <w:b/>
                <w:kern w:val="0"/>
                <w:sz w:val="24"/>
                <w:szCs w:val="24"/>
              </w:rPr>
            </w:pP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246365" w:rsidRPr="00287E57" w:rsidRDefault="00246365" w:rsidP="0065353C">
            <w:pPr>
              <w:widowControl/>
              <w:spacing w:line="600" w:lineRule="exact"/>
              <w:jc w:val="left"/>
              <w:rPr>
                <w:rFonts w:ascii="仿宋_GB2312" w:eastAsia="仿宋_GB2312" w:hAnsi="宋体" w:cs="宋体"/>
                <w:kern w:val="0"/>
                <w:sz w:val="24"/>
                <w:szCs w:val="24"/>
              </w:rPr>
            </w:pPr>
          </w:p>
        </w:tc>
        <w:tc>
          <w:tcPr>
            <w:tcW w:w="666" w:type="dxa"/>
            <w:vAlign w:val="center"/>
            <w:hideMark/>
          </w:tcPr>
          <w:p w:rsidR="00246365" w:rsidRPr="00287E57" w:rsidRDefault="00246365" w:rsidP="0065353C">
            <w:pPr>
              <w:widowControl/>
              <w:spacing w:line="600" w:lineRule="exact"/>
              <w:jc w:val="left"/>
              <w:rPr>
                <w:rFonts w:ascii="仿宋_GB2312" w:eastAsia="仿宋_GB2312" w:cs="宋体"/>
                <w:sz w:val="24"/>
                <w:szCs w:val="24"/>
              </w:rPr>
            </w:pPr>
          </w:p>
        </w:tc>
      </w:tr>
      <w:tr w:rsidR="00246365" w:rsidRPr="00287E57" w:rsidTr="0082653B">
        <w:trPr>
          <w:trHeight w:val="1132"/>
        </w:trPr>
        <w:tc>
          <w:tcPr>
            <w:tcW w:w="1123" w:type="dxa"/>
            <w:vMerge/>
            <w:tcBorders>
              <w:top w:val="single" w:sz="4" w:space="0" w:color="auto"/>
              <w:left w:val="single" w:sz="4" w:space="0" w:color="auto"/>
              <w:bottom w:val="single" w:sz="4" w:space="0" w:color="auto"/>
              <w:right w:val="nil"/>
            </w:tcBorders>
            <w:vAlign w:val="center"/>
            <w:hideMark/>
          </w:tcPr>
          <w:p w:rsidR="00246365" w:rsidRPr="00287E57" w:rsidRDefault="00246365" w:rsidP="0065353C">
            <w:pPr>
              <w:widowControl/>
              <w:spacing w:line="600" w:lineRule="exact"/>
              <w:jc w:val="left"/>
              <w:rPr>
                <w:rFonts w:ascii="仿宋_GB2312" w:eastAsia="仿宋_GB2312" w:hAnsi="宋体" w:cs="宋体"/>
                <w:b/>
                <w:kern w:val="0"/>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246365" w:rsidRPr="00287E57" w:rsidRDefault="00246365" w:rsidP="0065353C">
            <w:pPr>
              <w:widowControl/>
              <w:spacing w:line="600" w:lineRule="exact"/>
              <w:jc w:val="left"/>
              <w:rPr>
                <w:rFonts w:ascii="仿宋_GB2312" w:eastAsia="仿宋_GB2312" w:hAnsi="宋体" w:cs="宋体"/>
                <w:b/>
                <w:kern w:val="0"/>
                <w:sz w:val="24"/>
                <w:szCs w:val="24"/>
              </w:rPr>
            </w:pPr>
          </w:p>
        </w:tc>
        <w:tc>
          <w:tcPr>
            <w:tcW w:w="993" w:type="dxa"/>
            <w:tcBorders>
              <w:top w:val="nil"/>
              <w:left w:val="nil"/>
              <w:bottom w:val="single" w:sz="4" w:space="0" w:color="auto"/>
              <w:right w:val="single" w:sz="4" w:space="0" w:color="auto"/>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小计</w:t>
            </w:r>
          </w:p>
        </w:tc>
        <w:tc>
          <w:tcPr>
            <w:tcW w:w="1560" w:type="dxa"/>
            <w:tcBorders>
              <w:top w:val="nil"/>
              <w:left w:val="nil"/>
              <w:bottom w:val="single" w:sz="4" w:space="0" w:color="auto"/>
              <w:right w:val="single" w:sz="4" w:space="0" w:color="auto"/>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公务用车购置费</w:t>
            </w:r>
          </w:p>
        </w:tc>
        <w:tc>
          <w:tcPr>
            <w:tcW w:w="2128" w:type="dxa"/>
            <w:tcBorders>
              <w:top w:val="nil"/>
              <w:left w:val="nil"/>
              <w:bottom w:val="single" w:sz="4" w:space="0" w:color="auto"/>
              <w:right w:val="nil"/>
            </w:tcBorders>
            <w:vAlign w:val="center"/>
            <w:hideMark/>
          </w:tcPr>
          <w:p w:rsidR="00246365" w:rsidRPr="00287E57" w:rsidRDefault="00246365" w:rsidP="0065353C">
            <w:pPr>
              <w:widowControl/>
              <w:spacing w:before="100" w:beforeAutospacing="1" w:after="100" w:afterAutospacing="1" w:line="600" w:lineRule="exact"/>
              <w:jc w:val="center"/>
              <w:rPr>
                <w:rFonts w:ascii="仿宋_GB2312" w:eastAsia="仿宋_GB2312" w:hAnsi="宋体" w:cs="宋体"/>
                <w:b/>
                <w:kern w:val="0"/>
                <w:sz w:val="24"/>
                <w:szCs w:val="24"/>
              </w:rPr>
            </w:pPr>
            <w:r w:rsidRPr="00287E57">
              <w:rPr>
                <w:rFonts w:ascii="仿宋_GB2312" w:eastAsia="仿宋_GB2312" w:hAnsi="宋体" w:cs="宋体" w:hint="eastAsia"/>
                <w:b/>
                <w:kern w:val="0"/>
                <w:sz w:val="24"/>
                <w:szCs w:val="24"/>
              </w:rPr>
              <w:t>公务用车运行  维护费</w:t>
            </w:r>
            <w:r w:rsidRPr="00287E57">
              <w:rPr>
                <w:rFonts w:ascii="宋体" w:eastAsia="仿宋_GB2312" w:hAnsi="宋体" w:cs="宋体" w:hint="eastAsia"/>
                <w:b/>
                <w:kern w:val="0"/>
                <w:sz w:val="24"/>
                <w:szCs w:val="24"/>
              </w:rPr>
              <w:t>     </w:t>
            </w: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246365" w:rsidRPr="00287E57" w:rsidRDefault="00246365" w:rsidP="0065353C">
            <w:pPr>
              <w:widowControl/>
              <w:spacing w:line="600" w:lineRule="exact"/>
              <w:jc w:val="left"/>
              <w:rPr>
                <w:rFonts w:ascii="仿宋_GB2312" w:eastAsia="仿宋_GB2312" w:hAnsi="宋体" w:cs="宋体"/>
                <w:kern w:val="0"/>
                <w:sz w:val="24"/>
                <w:szCs w:val="24"/>
              </w:rPr>
            </w:pPr>
          </w:p>
        </w:tc>
        <w:tc>
          <w:tcPr>
            <w:tcW w:w="666" w:type="dxa"/>
            <w:vAlign w:val="center"/>
            <w:hideMark/>
          </w:tcPr>
          <w:p w:rsidR="00246365" w:rsidRPr="00287E57" w:rsidRDefault="00246365" w:rsidP="0065353C">
            <w:pPr>
              <w:widowControl/>
              <w:spacing w:line="600" w:lineRule="exact"/>
              <w:jc w:val="left"/>
              <w:rPr>
                <w:rFonts w:ascii="仿宋_GB2312" w:eastAsia="仿宋_GB2312" w:cs="宋体"/>
                <w:sz w:val="24"/>
                <w:szCs w:val="24"/>
              </w:rPr>
            </w:pPr>
          </w:p>
        </w:tc>
      </w:tr>
      <w:tr w:rsidR="00246365" w:rsidRPr="00287E57" w:rsidTr="0082653B">
        <w:trPr>
          <w:trHeight w:val="606"/>
        </w:trPr>
        <w:tc>
          <w:tcPr>
            <w:tcW w:w="1123" w:type="dxa"/>
            <w:tcBorders>
              <w:top w:val="nil"/>
              <w:left w:val="single" w:sz="4" w:space="0" w:color="auto"/>
              <w:bottom w:val="single" w:sz="4" w:space="0" w:color="auto"/>
              <w:right w:val="single" w:sz="4" w:space="0" w:color="auto"/>
            </w:tcBorders>
            <w:hideMark/>
          </w:tcPr>
          <w:p w:rsidR="00246365" w:rsidRPr="00287E57" w:rsidRDefault="001D33F9" w:rsidP="00FF44F3">
            <w:pPr>
              <w:widowControl/>
              <w:spacing w:before="100" w:beforeAutospacing="1" w:after="100" w:afterAutospacing="1" w:line="600" w:lineRule="exact"/>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5</w:t>
            </w:r>
            <w:r w:rsidR="00FF44F3">
              <w:rPr>
                <w:rFonts w:ascii="仿宋_GB2312" w:eastAsia="仿宋_GB2312" w:hAnsi="宋体" w:cs="宋体" w:hint="eastAsia"/>
                <w:kern w:val="0"/>
                <w:sz w:val="24"/>
                <w:szCs w:val="24"/>
              </w:rPr>
              <w:t>7.21</w:t>
            </w:r>
          </w:p>
        </w:tc>
        <w:tc>
          <w:tcPr>
            <w:tcW w:w="1702" w:type="dxa"/>
            <w:tcBorders>
              <w:top w:val="nil"/>
              <w:left w:val="nil"/>
              <w:bottom w:val="single" w:sz="4" w:space="0" w:color="auto"/>
              <w:right w:val="single" w:sz="4" w:space="0" w:color="auto"/>
            </w:tcBorders>
            <w:hideMark/>
          </w:tcPr>
          <w:p w:rsidR="00246365" w:rsidRPr="00287E57" w:rsidRDefault="001D33F9" w:rsidP="00FF44F3">
            <w:pPr>
              <w:widowControl/>
              <w:spacing w:before="100" w:beforeAutospacing="1" w:after="100" w:afterAutospacing="1" w:line="600" w:lineRule="exact"/>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993" w:type="dxa"/>
            <w:tcBorders>
              <w:top w:val="nil"/>
              <w:left w:val="nil"/>
              <w:bottom w:val="single" w:sz="4" w:space="0" w:color="auto"/>
              <w:right w:val="single" w:sz="4" w:space="0" w:color="auto"/>
            </w:tcBorders>
            <w:hideMark/>
          </w:tcPr>
          <w:p w:rsidR="00246365" w:rsidRPr="00287E57" w:rsidRDefault="00FF44F3" w:rsidP="0082653B">
            <w:pPr>
              <w:widowControl/>
              <w:spacing w:before="100" w:beforeAutospacing="1" w:after="100" w:afterAutospacing="1" w:line="600" w:lineRule="exact"/>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54.50</w:t>
            </w:r>
          </w:p>
        </w:tc>
        <w:tc>
          <w:tcPr>
            <w:tcW w:w="1560" w:type="dxa"/>
            <w:tcBorders>
              <w:top w:val="nil"/>
              <w:left w:val="nil"/>
              <w:bottom w:val="single" w:sz="4" w:space="0" w:color="auto"/>
              <w:right w:val="single" w:sz="4" w:space="0" w:color="auto"/>
            </w:tcBorders>
            <w:hideMark/>
          </w:tcPr>
          <w:p w:rsidR="00246365" w:rsidRPr="00287E57" w:rsidRDefault="001D33F9" w:rsidP="00FF44F3">
            <w:pPr>
              <w:widowControl/>
              <w:spacing w:before="100" w:beforeAutospacing="1" w:after="100" w:afterAutospacing="1" w:line="600" w:lineRule="exact"/>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1.5</w:t>
            </w:r>
            <w:r w:rsidR="00FF44F3">
              <w:rPr>
                <w:rFonts w:ascii="仿宋_GB2312" w:eastAsia="仿宋_GB2312" w:hAnsi="宋体" w:cs="宋体" w:hint="eastAsia"/>
                <w:kern w:val="0"/>
                <w:sz w:val="24"/>
                <w:szCs w:val="24"/>
              </w:rPr>
              <w:t>4</w:t>
            </w:r>
          </w:p>
        </w:tc>
        <w:tc>
          <w:tcPr>
            <w:tcW w:w="2128" w:type="dxa"/>
            <w:tcBorders>
              <w:top w:val="nil"/>
              <w:left w:val="nil"/>
              <w:bottom w:val="single" w:sz="4" w:space="0" w:color="auto"/>
              <w:right w:val="single" w:sz="4" w:space="0" w:color="auto"/>
            </w:tcBorders>
            <w:hideMark/>
          </w:tcPr>
          <w:p w:rsidR="00246365" w:rsidRPr="00287E57" w:rsidRDefault="001D33F9" w:rsidP="00FF44F3">
            <w:pPr>
              <w:widowControl/>
              <w:spacing w:before="100" w:beforeAutospacing="1" w:after="100" w:afterAutospacing="1" w:line="600" w:lineRule="exact"/>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52.9</w:t>
            </w:r>
            <w:r w:rsidR="00FF44F3">
              <w:rPr>
                <w:rFonts w:ascii="仿宋_GB2312" w:eastAsia="仿宋_GB2312" w:hAnsi="宋体" w:cs="宋体" w:hint="eastAsia"/>
                <w:kern w:val="0"/>
                <w:sz w:val="24"/>
                <w:szCs w:val="24"/>
              </w:rPr>
              <w:t>6</w:t>
            </w:r>
          </w:p>
        </w:tc>
        <w:tc>
          <w:tcPr>
            <w:tcW w:w="1533" w:type="dxa"/>
            <w:tcBorders>
              <w:top w:val="nil"/>
              <w:left w:val="nil"/>
              <w:bottom w:val="single" w:sz="4" w:space="0" w:color="auto"/>
              <w:right w:val="single" w:sz="4" w:space="0" w:color="auto"/>
            </w:tcBorders>
            <w:hideMark/>
          </w:tcPr>
          <w:p w:rsidR="00246365" w:rsidRPr="00287E57" w:rsidRDefault="001D33F9" w:rsidP="00FF44F3">
            <w:pPr>
              <w:widowControl/>
              <w:spacing w:before="100" w:beforeAutospacing="1" w:after="100" w:afterAutospacing="1" w:line="600" w:lineRule="exact"/>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w:t>
            </w:r>
            <w:r w:rsidR="00FF44F3">
              <w:rPr>
                <w:rFonts w:ascii="仿宋_GB2312" w:eastAsia="仿宋_GB2312" w:hAnsi="宋体" w:cs="宋体" w:hint="eastAsia"/>
                <w:kern w:val="0"/>
                <w:sz w:val="24"/>
                <w:szCs w:val="24"/>
              </w:rPr>
              <w:t>71</w:t>
            </w:r>
          </w:p>
        </w:tc>
        <w:tc>
          <w:tcPr>
            <w:tcW w:w="666" w:type="dxa"/>
            <w:vAlign w:val="center"/>
            <w:hideMark/>
          </w:tcPr>
          <w:p w:rsidR="00246365" w:rsidRPr="00287E57" w:rsidRDefault="00246365" w:rsidP="0065353C">
            <w:pPr>
              <w:widowControl/>
              <w:spacing w:line="600" w:lineRule="exact"/>
              <w:jc w:val="left"/>
              <w:rPr>
                <w:rFonts w:ascii="仿宋_GB2312" w:eastAsia="仿宋_GB2312" w:cs="宋体"/>
                <w:sz w:val="24"/>
                <w:szCs w:val="24"/>
              </w:rPr>
            </w:pPr>
          </w:p>
        </w:tc>
      </w:tr>
    </w:tbl>
    <w:p w:rsidR="007B7872" w:rsidRDefault="00246365" w:rsidP="0065353C">
      <w:pPr>
        <w:spacing w:line="600" w:lineRule="exact"/>
        <w:ind w:firstLine="602"/>
        <w:rPr>
          <w:rFonts w:ascii="仿宋_GB2312" w:eastAsia="仿宋_GB2312"/>
          <w:sz w:val="32"/>
          <w:szCs w:val="32"/>
        </w:rPr>
      </w:pPr>
      <w:r w:rsidRPr="00287E57">
        <w:rPr>
          <w:rFonts w:ascii="黑体" w:eastAsia="黑体" w:hint="eastAsia"/>
          <w:sz w:val="32"/>
          <w:szCs w:val="32"/>
        </w:rPr>
        <w:t>三、</w:t>
      </w:r>
      <w:r w:rsidR="007B7872" w:rsidRPr="00287E57">
        <w:rPr>
          <w:rFonts w:ascii="黑体" w:eastAsia="黑体" w:hint="eastAsia"/>
          <w:sz w:val="32"/>
          <w:szCs w:val="32"/>
        </w:rPr>
        <w:t>预算执行情况分析</w:t>
      </w:r>
    </w:p>
    <w:p w:rsidR="00E76695" w:rsidRDefault="00E76695" w:rsidP="0065353C">
      <w:pPr>
        <w:spacing w:line="600" w:lineRule="exact"/>
        <w:ind w:firstLine="602"/>
        <w:rPr>
          <w:rFonts w:ascii="仿宋_GB2312" w:eastAsia="仿宋_GB2312" w:hAnsi="宋体"/>
          <w:sz w:val="32"/>
          <w:szCs w:val="32"/>
        </w:rPr>
      </w:pPr>
      <w:r>
        <w:rPr>
          <w:rFonts w:ascii="仿宋_GB2312" w:eastAsia="仿宋_GB2312" w:hint="eastAsia"/>
          <w:sz w:val="32"/>
          <w:szCs w:val="32"/>
        </w:rPr>
        <w:t>2014年度本部门决算收入</w:t>
      </w:r>
      <w:r w:rsidR="00583F75">
        <w:rPr>
          <w:rFonts w:ascii="仿宋_GB2312" w:eastAsia="仿宋_GB2312" w:hint="eastAsia"/>
          <w:sz w:val="32"/>
          <w:szCs w:val="32"/>
        </w:rPr>
        <w:t>156</w:t>
      </w:r>
      <w:r w:rsidR="007E12EB">
        <w:rPr>
          <w:rFonts w:ascii="仿宋_GB2312" w:eastAsia="仿宋_GB2312" w:hint="eastAsia"/>
          <w:sz w:val="32"/>
          <w:szCs w:val="32"/>
        </w:rPr>
        <w:t>0.42</w:t>
      </w:r>
      <w:r>
        <w:rPr>
          <w:rFonts w:ascii="仿宋_GB2312" w:eastAsia="仿宋_GB2312" w:hint="eastAsia"/>
          <w:sz w:val="32"/>
          <w:szCs w:val="32"/>
        </w:rPr>
        <w:t>万元，比上年增加</w:t>
      </w:r>
      <w:r w:rsidR="007E12EB">
        <w:rPr>
          <w:rFonts w:ascii="仿宋_GB2312" w:eastAsia="仿宋_GB2312" w:hint="eastAsia"/>
          <w:sz w:val="32"/>
          <w:szCs w:val="32"/>
        </w:rPr>
        <w:t>1008.8</w:t>
      </w:r>
      <w:r>
        <w:rPr>
          <w:rFonts w:ascii="仿宋_GB2312" w:eastAsia="仿宋_GB2312" w:hint="eastAsia"/>
          <w:sz w:val="32"/>
          <w:szCs w:val="32"/>
        </w:rPr>
        <w:t>万元，增长</w:t>
      </w:r>
      <w:r w:rsidR="007E12EB">
        <w:rPr>
          <w:rFonts w:ascii="仿宋_GB2312" w:eastAsia="仿宋_GB2312" w:hint="eastAsia"/>
          <w:sz w:val="32"/>
          <w:szCs w:val="32"/>
        </w:rPr>
        <w:t>182.87</w:t>
      </w:r>
      <w:r>
        <w:rPr>
          <w:rFonts w:ascii="仿宋_GB2312" w:eastAsia="仿宋_GB2312" w:hint="eastAsia"/>
          <w:sz w:val="32"/>
          <w:szCs w:val="32"/>
        </w:rPr>
        <w:t>%，主要原因为</w:t>
      </w:r>
      <w:r w:rsidR="007E12EB">
        <w:rPr>
          <w:rFonts w:ascii="仿宋_GB2312" w:eastAsia="仿宋_GB2312" w:hint="eastAsia"/>
          <w:sz w:val="32"/>
          <w:szCs w:val="32"/>
        </w:rPr>
        <w:t>财政局划拨给开</w:t>
      </w:r>
      <w:r w:rsidR="007E12EB">
        <w:rPr>
          <w:rFonts w:ascii="仿宋_GB2312" w:eastAsia="仿宋_GB2312" w:hint="eastAsia"/>
          <w:sz w:val="32"/>
          <w:szCs w:val="32"/>
        </w:rPr>
        <w:lastRenderedPageBreak/>
        <w:t>关厂的职工安置费用暂未拨付</w:t>
      </w:r>
      <w:r>
        <w:rPr>
          <w:rFonts w:ascii="仿宋_GB2312" w:eastAsia="仿宋_GB2312" w:hAnsi="宋体" w:hint="eastAsia"/>
          <w:sz w:val="32"/>
          <w:szCs w:val="32"/>
        </w:rPr>
        <w:t xml:space="preserve">。与2014年度部门预算收入  </w:t>
      </w:r>
      <w:r w:rsidR="007E12EB">
        <w:rPr>
          <w:rFonts w:ascii="仿宋_GB2312" w:eastAsia="仿宋_GB2312" w:hint="eastAsia"/>
          <w:sz w:val="32"/>
          <w:szCs w:val="32"/>
        </w:rPr>
        <w:t>1560.42</w:t>
      </w:r>
      <w:r>
        <w:rPr>
          <w:rFonts w:ascii="仿宋_GB2312" w:eastAsia="仿宋_GB2312" w:hAnsi="宋体" w:hint="eastAsia"/>
          <w:sz w:val="32"/>
          <w:szCs w:val="32"/>
        </w:rPr>
        <w:t>万元相比，多收</w:t>
      </w:r>
      <w:r w:rsidR="007E12EB">
        <w:rPr>
          <w:rFonts w:ascii="仿宋_GB2312" w:eastAsia="仿宋_GB2312" w:hAnsi="宋体" w:hint="eastAsia"/>
          <w:sz w:val="32"/>
          <w:szCs w:val="32"/>
        </w:rPr>
        <w:t>0</w:t>
      </w:r>
      <w:r>
        <w:rPr>
          <w:rFonts w:ascii="仿宋_GB2312" w:eastAsia="仿宋_GB2312" w:hAnsi="宋体" w:hint="eastAsia"/>
          <w:sz w:val="32"/>
          <w:szCs w:val="32"/>
        </w:rPr>
        <w:t>万元。</w:t>
      </w:r>
    </w:p>
    <w:p w:rsidR="00E76695" w:rsidRPr="00E76695" w:rsidRDefault="00E76695" w:rsidP="0065353C">
      <w:pPr>
        <w:spacing w:line="600" w:lineRule="exact"/>
        <w:ind w:firstLine="602"/>
        <w:rPr>
          <w:rFonts w:ascii="仿宋_GB2312" w:eastAsia="仿宋_GB2312" w:hAnsi="宋体"/>
          <w:sz w:val="32"/>
          <w:szCs w:val="32"/>
        </w:rPr>
      </w:pPr>
      <w:r>
        <w:rPr>
          <w:rFonts w:ascii="仿宋_GB2312" w:eastAsia="仿宋_GB2312" w:hAnsi="宋体" w:hint="eastAsia"/>
          <w:sz w:val="32"/>
          <w:szCs w:val="32"/>
        </w:rPr>
        <w:t>2014年度本部门决算支出</w:t>
      </w:r>
      <w:r w:rsidR="00583F75">
        <w:rPr>
          <w:rFonts w:ascii="仿宋_GB2312" w:eastAsia="仿宋_GB2312" w:hAnsi="宋体" w:hint="eastAsia"/>
          <w:sz w:val="32"/>
          <w:szCs w:val="32"/>
        </w:rPr>
        <w:t>536.63</w:t>
      </w:r>
      <w:r>
        <w:rPr>
          <w:rFonts w:ascii="仿宋_GB2312" w:eastAsia="仿宋_GB2312" w:hAnsi="宋体" w:hint="eastAsia"/>
          <w:sz w:val="32"/>
          <w:szCs w:val="32"/>
        </w:rPr>
        <w:t>万元，</w:t>
      </w:r>
      <w:r>
        <w:rPr>
          <w:rFonts w:ascii="仿宋_GB2312" w:eastAsia="仿宋_GB2312" w:hint="eastAsia"/>
          <w:sz w:val="32"/>
          <w:szCs w:val="32"/>
        </w:rPr>
        <w:t>比上年</w:t>
      </w:r>
      <w:r w:rsidR="007E12EB">
        <w:rPr>
          <w:rFonts w:ascii="仿宋_GB2312" w:eastAsia="仿宋_GB2312" w:hint="eastAsia"/>
          <w:sz w:val="32"/>
          <w:szCs w:val="32"/>
        </w:rPr>
        <w:t>减少35.31</w:t>
      </w:r>
      <w:r>
        <w:rPr>
          <w:rFonts w:ascii="仿宋_GB2312" w:eastAsia="仿宋_GB2312" w:hint="eastAsia"/>
          <w:sz w:val="32"/>
          <w:szCs w:val="32"/>
        </w:rPr>
        <w:t>万元，降低</w:t>
      </w:r>
      <w:r w:rsidR="007E12EB">
        <w:rPr>
          <w:rFonts w:ascii="仿宋_GB2312" w:eastAsia="仿宋_GB2312" w:hint="eastAsia"/>
          <w:sz w:val="32"/>
          <w:szCs w:val="32"/>
        </w:rPr>
        <w:t>6.1</w:t>
      </w:r>
      <w:r w:rsidR="00577A60">
        <w:rPr>
          <w:rFonts w:ascii="仿宋_GB2312" w:eastAsia="仿宋_GB2312" w:hint="eastAsia"/>
          <w:sz w:val="32"/>
          <w:szCs w:val="32"/>
        </w:rPr>
        <w:t>%</w:t>
      </w:r>
      <w:r>
        <w:rPr>
          <w:rFonts w:ascii="仿宋_GB2312" w:eastAsia="仿宋_GB2312" w:hint="eastAsia"/>
          <w:sz w:val="32"/>
          <w:szCs w:val="32"/>
        </w:rPr>
        <w:t>，主要原因为</w:t>
      </w:r>
      <w:r w:rsidR="007E12EB">
        <w:rPr>
          <w:rFonts w:ascii="仿宋_GB2312" w:eastAsia="仿宋_GB2312" w:hint="eastAsia"/>
          <w:sz w:val="32"/>
          <w:szCs w:val="32"/>
        </w:rPr>
        <w:t>国资委更加规范地管理支出项目，节约了日常开支成本</w:t>
      </w:r>
      <w:r>
        <w:rPr>
          <w:rFonts w:ascii="仿宋_GB2312" w:eastAsia="仿宋_GB2312" w:hAnsi="宋体" w:hint="eastAsia"/>
          <w:sz w:val="32"/>
          <w:szCs w:val="32"/>
        </w:rPr>
        <w:t>。与2014</w:t>
      </w:r>
      <w:r w:rsidR="00BB007F">
        <w:rPr>
          <w:rFonts w:ascii="仿宋_GB2312" w:eastAsia="仿宋_GB2312" w:hAnsi="宋体" w:hint="eastAsia"/>
          <w:sz w:val="32"/>
          <w:szCs w:val="32"/>
        </w:rPr>
        <w:t>年度部门预算支出</w:t>
      </w:r>
      <w:r w:rsidR="007E12EB">
        <w:rPr>
          <w:rFonts w:ascii="仿宋_GB2312" w:eastAsia="仿宋_GB2312" w:hAnsi="宋体" w:hint="eastAsia"/>
          <w:sz w:val="32"/>
          <w:szCs w:val="32"/>
        </w:rPr>
        <w:t>486.94</w:t>
      </w:r>
      <w:r>
        <w:rPr>
          <w:rFonts w:ascii="仿宋_GB2312" w:eastAsia="仿宋_GB2312" w:hAnsi="宋体" w:hint="eastAsia"/>
          <w:sz w:val="32"/>
          <w:szCs w:val="32"/>
        </w:rPr>
        <w:t>万元相比，多支</w:t>
      </w:r>
      <w:r w:rsidR="007E12EB">
        <w:rPr>
          <w:rFonts w:ascii="仿宋_GB2312" w:eastAsia="仿宋_GB2312" w:hAnsi="宋体" w:hint="eastAsia"/>
          <w:sz w:val="32"/>
          <w:szCs w:val="32"/>
        </w:rPr>
        <w:t>49.69</w:t>
      </w:r>
      <w:r>
        <w:rPr>
          <w:rFonts w:ascii="仿宋_GB2312" w:eastAsia="仿宋_GB2312" w:hAnsi="宋体" w:hint="eastAsia"/>
          <w:sz w:val="32"/>
          <w:szCs w:val="32"/>
        </w:rPr>
        <w:t>万元，主要原因为</w:t>
      </w:r>
      <w:r w:rsidR="007F2213">
        <w:rPr>
          <w:rFonts w:ascii="仿宋_GB2312" w:eastAsia="仿宋_GB2312" w:hAnsi="宋体" w:hint="eastAsia"/>
          <w:sz w:val="32"/>
          <w:szCs w:val="32"/>
        </w:rPr>
        <w:t>统一调增导致的</w:t>
      </w:r>
      <w:r w:rsidR="007E12EB">
        <w:rPr>
          <w:rFonts w:ascii="仿宋_GB2312" w:eastAsia="仿宋_GB2312" w:hAnsi="宋体" w:hint="eastAsia"/>
          <w:sz w:val="32"/>
          <w:szCs w:val="32"/>
        </w:rPr>
        <w:t>人员经费增加</w:t>
      </w:r>
      <w:r>
        <w:rPr>
          <w:rFonts w:ascii="仿宋_GB2312" w:eastAsia="仿宋_GB2312" w:hAnsi="宋体" w:hint="eastAsia"/>
          <w:sz w:val="32"/>
          <w:szCs w:val="32"/>
        </w:rPr>
        <w:t>。多支资金</w:t>
      </w:r>
      <w:r w:rsidR="0082653B">
        <w:rPr>
          <w:rFonts w:ascii="仿宋_GB2312" w:eastAsia="仿宋_GB2312" w:hAnsi="宋体" w:hint="eastAsia"/>
          <w:sz w:val="32"/>
          <w:szCs w:val="32"/>
        </w:rPr>
        <w:t>的来源为</w:t>
      </w:r>
      <w:r w:rsidR="007F2213">
        <w:rPr>
          <w:rFonts w:ascii="仿宋_GB2312" w:eastAsia="仿宋_GB2312" w:hAnsi="宋体" w:hint="eastAsia"/>
          <w:sz w:val="32"/>
          <w:szCs w:val="32"/>
        </w:rPr>
        <w:t>财政拨款</w:t>
      </w:r>
      <w:r w:rsidR="00577A60">
        <w:rPr>
          <w:rFonts w:ascii="仿宋_GB2312" w:eastAsia="仿宋_GB2312" w:hAnsi="宋体" w:hint="eastAsia"/>
          <w:sz w:val="32"/>
          <w:szCs w:val="32"/>
        </w:rPr>
        <w:t>。</w:t>
      </w:r>
    </w:p>
    <w:p w:rsidR="00246365" w:rsidRPr="00287E57" w:rsidRDefault="00246365" w:rsidP="0065353C">
      <w:pPr>
        <w:spacing w:line="600" w:lineRule="exact"/>
        <w:ind w:firstLine="602"/>
        <w:rPr>
          <w:rFonts w:ascii="黑体" w:eastAsia="黑体"/>
          <w:sz w:val="32"/>
          <w:szCs w:val="32"/>
        </w:rPr>
      </w:pPr>
      <w:r w:rsidRPr="00287E57">
        <w:rPr>
          <w:rFonts w:ascii="黑体" w:eastAsia="黑体" w:hint="eastAsia"/>
          <w:sz w:val="32"/>
          <w:szCs w:val="32"/>
        </w:rPr>
        <w:t>四、</w:t>
      </w:r>
      <w:r w:rsidR="007B7872" w:rsidRPr="00287E57">
        <w:rPr>
          <w:rFonts w:ascii="黑体" w:eastAsia="黑体" w:hint="eastAsia"/>
          <w:sz w:val="32"/>
          <w:szCs w:val="32"/>
        </w:rPr>
        <w:t>“三公”经费支出</w:t>
      </w:r>
      <w:r w:rsidRPr="00287E57">
        <w:rPr>
          <w:rFonts w:ascii="黑体" w:eastAsia="黑体" w:hint="eastAsia"/>
          <w:sz w:val="32"/>
          <w:szCs w:val="32"/>
        </w:rPr>
        <w:t>情况</w:t>
      </w:r>
    </w:p>
    <w:p w:rsidR="00246365" w:rsidRPr="00B641F1" w:rsidRDefault="00246365" w:rsidP="0065353C">
      <w:pPr>
        <w:widowControl/>
        <w:shd w:val="clear" w:color="auto" w:fill="FFFFFF"/>
        <w:spacing w:line="600" w:lineRule="exact"/>
        <w:ind w:firstLine="630"/>
        <w:jc w:val="left"/>
        <w:rPr>
          <w:rFonts w:ascii="仿宋_GB2312" w:eastAsia="仿宋_GB2312" w:hAnsi="宋体" w:cs="宋体"/>
          <w:kern w:val="0"/>
          <w:sz w:val="32"/>
          <w:szCs w:val="32"/>
        </w:rPr>
      </w:pPr>
      <w:r w:rsidRPr="00B641F1">
        <w:rPr>
          <w:rFonts w:ascii="仿宋_GB2312" w:eastAsia="仿宋_GB2312" w:hAnsi="宋体" w:cs="宋体" w:hint="eastAsia"/>
          <w:kern w:val="0"/>
          <w:sz w:val="32"/>
          <w:szCs w:val="32"/>
        </w:rPr>
        <w:t>201</w:t>
      </w:r>
      <w:r w:rsidR="00287E57">
        <w:rPr>
          <w:rFonts w:ascii="仿宋_GB2312" w:eastAsia="仿宋_GB2312" w:hAnsi="宋体" w:cs="宋体" w:hint="eastAsia"/>
          <w:kern w:val="0"/>
          <w:sz w:val="32"/>
          <w:szCs w:val="32"/>
        </w:rPr>
        <w:t>4</w:t>
      </w:r>
      <w:r w:rsidRPr="00B641F1">
        <w:rPr>
          <w:rFonts w:ascii="仿宋_GB2312" w:eastAsia="仿宋_GB2312" w:hAnsi="宋体" w:cs="宋体" w:hint="eastAsia"/>
          <w:kern w:val="0"/>
          <w:sz w:val="32"/>
          <w:szCs w:val="32"/>
        </w:rPr>
        <w:t>年，</w:t>
      </w:r>
      <w:r w:rsidR="00E76695">
        <w:rPr>
          <w:rFonts w:ascii="仿宋_GB2312" w:eastAsia="仿宋_GB2312" w:hAnsi="宋体" w:cs="宋体" w:hint="eastAsia"/>
          <w:kern w:val="0"/>
          <w:sz w:val="32"/>
          <w:szCs w:val="32"/>
        </w:rPr>
        <w:t>本部门</w:t>
      </w:r>
      <w:r w:rsidRPr="00B641F1">
        <w:rPr>
          <w:rFonts w:ascii="仿宋_GB2312" w:eastAsia="仿宋_GB2312" w:hAnsi="宋体" w:cs="宋体" w:hint="eastAsia"/>
          <w:kern w:val="0"/>
          <w:sz w:val="32"/>
          <w:szCs w:val="32"/>
        </w:rPr>
        <w:t>通过公共预算财政拨款安排的因公出国（境）、公务用车购置及运行、公务接待等经费决算共</w:t>
      </w:r>
      <w:r w:rsidR="00FF44F3">
        <w:rPr>
          <w:rFonts w:ascii="仿宋_GB2312" w:eastAsia="仿宋_GB2312" w:hAnsi="宋体" w:cs="宋体" w:hint="eastAsia"/>
          <w:kern w:val="0"/>
          <w:sz w:val="32"/>
          <w:szCs w:val="32"/>
        </w:rPr>
        <w:t>57.21</w:t>
      </w:r>
      <w:r w:rsidR="00BB007F">
        <w:rPr>
          <w:rFonts w:ascii="仿宋_GB2312" w:eastAsia="仿宋_GB2312" w:hAnsi="宋体" w:cs="宋体" w:hint="eastAsia"/>
          <w:kern w:val="0"/>
          <w:sz w:val="32"/>
          <w:szCs w:val="32"/>
        </w:rPr>
        <w:t>万元</w:t>
      </w:r>
      <w:r w:rsidR="00AF66C3">
        <w:rPr>
          <w:rFonts w:ascii="仿宋_GB2312" w:eastAsia="仿宋_GB2312" w:hAnsi="宋体" w:cs="宋体" w:hint="eastAsia"/>
          <w:kern w:val="0"/>
          <w:sz w:val="32"/>
          <w:szCs w:val="32"/>
        </w:rPr>
        <w:t>，</w:t>
      </w:r>
      <w:r w:rsidR="00AF66C3">
        <w:rPr>
          <w:rFonts w:ascii="仿宋_GB2312" w:eastAsia="仿宋_GB2312" w:hint="eastAsia"/>
          <w:sz w:val="32"/>
          <w:szCs w:val="32"/>
        </w:rPr>
        <w:t>比上年增加</w:t>
      </w:r>
      <w:r w:rsidR="00FF44F3">
        <w:rPr>
          <w:rFonts w:ascii="仿宋_GB2312" w:eastAsia="仿宋_GB2312" w:hint="eastAsia"/>
          <w:sz w:val="32"/>
          <w:szCs w:val="32"/>
        </w:rPr>
        <w:t>11.07</w:t>
      </w:r>
      <w:r w:rsidR="00AF66C3">
        <w:rPr>
          <w:rFonts w:ascii="仿宋_GB2312" w:eastAsia="仿宋_GB2312" w:hint="eastAsia"/>
          <w:sz w:val="32"/>
          <w:szCs w:val="32"/>
        </w:rPr>
        <w:t>万元，增长</w:t>
      </w:r>
      <w:r w:rsidR="007F2213">
        <w:rPr>
          <w:rFonts w:ascii="仿宋_GB2312" w:eastAsia="仿宋_GB2312" w:hint="eastAsia"/>
          <w:sz w:val="32"/>
          <w:szCs w:val="32"/>
        </w:rPr>
        <w:t>2</w:t>
      </w:r>
      <w:r w:rsidR="00FF44F3">
        <w:rPr>
          <w:rFonts w:ascii="仿宋_GB2312" w:eastAsia="仿宋_GB2312" w:hint="eastAsia"/>
          <w:sz w:val="32"/>
          <w:szCs w:val="32"/>
        </w:rPr>
        <w:t>3.9</w:t>
      </w:r>
      <w:r w:rsidR="00AF66C3">
        <w:rPr>
          <w:rFonts w:ascii="仿宋_GB2312" w:eastAsia="仿宋_GB2312" w:hint="eastAsia"/>
          <w:sz w:val="32"/>
          <w:szCs w:val="32"/>
        </w:rPr>
        <w:t>%，主要原因为</w:t>
      </w:r>
      <w:r w:rsidR="007F2213">
        <w:rPr>
          <w:rFonts w:ascii="仿宋_GB2312" w:eastAsia="仿宋_GB2312" w:hint="eastAsia"/>
          <w:sz w:val="32"/>
          <w:szCs w:val="32"/>
        </w:rPr>
        <w:t>车辆燃油、维修及装饰等费用欠款积压在本年度结算、车辆老化导致维修维护费用成本增加等</w:t>
      </w:r>
      <w:r w:rsidR="00AF66C3">
        <w:rPr>
          <w:rFonts w:ascii="仿宋_GB2312" w:eastAsia="仿宋_GB2312" w:hAnsi="宋体" w:hint="eastAsia"/>
          <w:sz w:val="32"/>
          <w:szCs w:val="32"/>
        </w:rPr>
        <w:t>。</w:t>
      </w:r>
      <w:r w:rsidRPr="00B641F1">
        <w:rPr>
          <w:rFonts w:ascii="仿宋_GB2312" w:eastAsia="仿宋_GB2312" w:hAnsi="宋体" w:cs="宋体" w:hint="eastAsia"/>
          <w:kern w:val="0"/>
          <w:sz w:val="32"/>
          <w:szCs w:val="32"/>
        </w:rPr>
        <w:t>其中：</w:t>
      </w:r>
    </w:p>
    <w:p w:rsidR="007F2213" w:rsidRDefault="00246365" w:rsidP="0065353C">
      <w:pPr>
        <w:widowControl/>
        <w:shd w:val="clear" w:color="auto" w:fill="FFFFFF"/>
        <w:spacing w:line="600" w:lineRule="exact"/>
        <w:ind w:firstLine="630"/>
        <w:jc w:val="left"/>
        <w:rPr>
          <w:rFonts w:ascii="仿宋_GB2312" w:eastAsia="仿宋_GB2312"/>
          <w:sz w:val="32"/>
          <w:szCs w:val="32"/>
        </w:rPr>
      </w:pPr>
      <w:r w:rsidRPr="004F6AC3">
        <w:rPr>
          <w:rFonts w:ascii="楷体_GB2312" w:eastAsia="楷体_GB2312" w:hint="eastAsia"/>
          <w:sz w:val="32"/>
          <w:szCs w:val="32"/>
        </w:rPr>
        <w:t>1、因公出国（境）费</w:t>
      </w:r>
      <w:r w:rsidR="00FF44F3">
        <w:rPr>
          <w:rFonts w:ascii="楷体_GB2312" w:eastAsia="楷体_GB2312" w:hint="eastAsia"/>
          <w:sz w:val="32"/>
          <w:szCs w:val="32"/>
        </w:rPr>
        <w:t>0</w:t>
      </w:r>
      <w:r w:rsidRPr="004F6AC3">
        <w:rPr>
          <w:rFonts w:ascii="楷体_GB2312" w:eastAsia="楷体_GB2312" w:hint="eastAsia"/>
          <w:sz w:val="32"/>
          <w:szCs w:val="32"/>
        </w:rPr>
        <w:t>万元。</w:t>
      </w:r>
      <w:r w:rsidRPr="00B641F1">
        <w:rPr>
          <w:rFonts w:ascii="仿宋_GB2312" w:eastAsia="仿宋_GB2312" w:hint="eastAsia"/>
          <w:sz w:val="32"/>
          <w:szCs w:val="32"/>
        </w:rPr>
        <w:t>包括单位工作人员公务出国（境）的住宿费、旅费、伙食补助费、杂费、培训费等支出。</w:t>
      </w:r>
    </w:p>
    <w:p w:rsidR="00246365" w:rsidRPr="00B641F1" w:rsidRDefault="00246365" w:rsidP="0065353C">
      <w:pPr>
        <w:widowControl/>
        <w:shd w:val="clear" w:color="auto" w:fill="FFFFFF"/>
        <w:spacing w:line="600" w:lineRule="exact"/>
        <w:ind w:firstLine="630"/>
        <w:jc w:val="left"/>
        <w:rPr>
          <w:rFonts w:ascii="仿宋_GB2312" w:eastAsia="仿宋_GB2312"/>
          <w:sz w:val="32"/>
          <w:szCs w:val="32"/>
        </w:rPr>
      </w:pPr>
      <w:r w:rsidRPr="004F6AC3">
        <w:rPr>
          <w:rFonts w:ascii="楷体_GB2312" w:eastAsia="楷体_GB2312" w:hint="eastAsia"/>
          <w:sz w:val="32"/>
          <w:szCs w:val="32"/>
        </w:rPr>
        <w:t xml:space="preserve">2、公务用车购置及运行费 </w:t>
      </w:r>
      <w:r w:rsidR="007F2213">
        <w:rPr>
          <w:rFonts w:ascii="楷体_GB2312" w:eastAsia="楷体_GB2312" w:hint="eastAsia"/>
          <w:sz w:val="32"/>
          <w:szCs w:val="32"/>
        </w:rPr>
        <w:t>5</w:t>
      </w:r>
      <w:r w:rsidR="00FF44F3">
        <w:rPr>
          <w:rFonts w:ascii="楷体_GB2312" w:eastAsia="楷体_GB2312" w:hint="eastAsia"/>
          <w:sz w:val="32"/>
          <w:szCs w:val="32"/>
        </w:rPr>
        <w:t>4.50</w:t>
      </w:r>
      <w:r w:rsidRPr="004F6AC3">
        <w:rPr>
          <w:rFonts w:ascii="楷体_GB2312" w:eastAsia="楷体_GB2312" w:hint="eastAsia"/>
          <w:sz w:val="32"/>
          <w:szCs w:val="32"/>
        </w:rPr>
        <w:t>万元。</w:t>
      </w:r>
      <w:r w:rsidRPr="00B641F1">
        <w:rPr>
          <w:rFonts w:ascii="仿宋_GB2312" w:eastAsia="仿宋_GB2312" w:hint="eastAsia"/>
          <w:sz w:val="32"/>
          <w:szCs w:val="32"/>
        </w:rPr>
        <w:t>包括单位公务用车购置费及租用费、燃料费、维修费、过路过桥费、保险费等支出。其中：</w:t>
      </w:r>
    </w:p>
    <w:p w:rsidR="00246365" w:rsidRPr="00B641F1" w:rsidRDefault="00246365" w:rsidP="0065353C">
      <w:pPr>
        <w:widowControl/>
        <w:shd w:val="clear" w:color="auto" w:fill="FFFFFF"/>
        <w:spacing w:line="600" w:lineRule="exact"/>
        <w:ind w:firstLine="630"/>
        <w:jc w:val="left"/>
        <w:rPr>
          <w:rFonts w:ascii="仿宋_GB2312" w:eastAsia="仿宋_GB2312"/>
          <w:sz w:val="32"/>
          <w:szCs w:val="32"/>
        </w:rPr>
      </w:pPr>
      <w:r w:rsidRPr="00B641F1">
        <w:rPr>
          <w:rFonts w:ascii="仿宋_GB2312" w:eastAsia="仿宋_GB2312" w:hint="eastAsia"/>
          <w:sz w:val="32"/>
          <w:szCs w:val="32"/>
        </w:rPr>
        <w:t>（1）公务用车购置费</w:t>
      </w:r>
      <w:r w:rsidR="007F2213">
        <w:rPr>
          <w:rFonts w:ascii="仿宋_GB2312" w:eastAsia="仿宋_GB2312" w:hint="eastAsia"/>
          <w:sz w:val="32"/>
          <w:szCs w:val="32"/>
        </w:rPr>
        <w:t>1.5</w:t>
      </w:r>
      <w:r w:rsidR="00FF44F3">
        <w:rPr>
          <w:rFonts w:ascii="仿宋_GB2312" w:eastAsia="仿宋_GB2312" w:hint="eastAsia"/>
          <w:sz w:val="32"/>
          <w:szCs w:val="32"/>
        </w:rPr>
        <w:t>4</w:t>
      </w:r>
      <w:r w:rsidRPr="00B641F1">
        <w:rPr>
          <w:rFonts w:ascii="仿宋_GB2312" w:eastAsia="仿宋_GB2312" w:hint="eastAsia"/>
          <w:sz w:val="32"/>
          <w:szCs w:val="32"/>
        </w:rPr>
        <w:t>万元。</w:t>
      </w:r>
      <w:r w:rsidR="00470855">
        <w:rPr>
          <w:rFonts w:ascii="仿宋_GB2312" w:eastAsia="仿宋_GB2312" w:hint="eastAsia"/>
          <w:sz w:val="32"/>
          <w:szCs w:val="32"/>
        </w:rPr>
        <w:t>本年度机关事务局调拨车辆一辆，缴纳购置税共计1.5</w:t>
      </w:r>
      <w:r w:rsidR="00FF44F3">
        <w:rPr>
          <w:rFonts w:ascii="仿宋_GB2312" w:eastAsia="仿宋_GB2312" w:hint="eastAsia"/>
          <w:sz w:val="32"/>
          <w:szCs w:val="32"/>
        </w:rPr>
        <w:t>4</w:t>
      </w:r>
      <w:r w:rsidR="00470855">
        <w:rPr>
          <w:rFonts w:ascii="仿宋_GB2312" w:eastAsia="仿宋_GB2312" w:hint="eastAsia"/>
          <w:sz w:val="32"/>
          <w:szCs w:val="32"/>
        </w:rPr>
        <w:t>万元。</w:t>
      </w:r>
    </w:p>
    <w:p w:rsidR="00246365" w:rsidRPr="00B641F1" w:rsidRDefault="00246365" w:rsidP="0065353C">
      <w:pPr>
        <w:widowControl/>
        <w:shd w:val="clear" w:color="auto" w:fill="FFFFFF"/>
        <w:spacing w:line="600" w:lineRule="exact"/>
        <w:ind w:firstLine="630"/>
        <w:jc w:val="left"/>
        <w:rPr>
          <w:rFonts w:ascii="仿宋_GB2312" w:eastAsia="仿宋_GB2312"/>
          <w:sz w:val="32"/>
          <w:szCs w:val="32"/>
        </w:rPr>
      </w:pPr>
      <w:r w:rsidRPr="00B641F1">
        <w:rPr>
          <w:rFonts w:ascii="仿宋_GB2312" w:eastAsia="仿宋_GB2312" w:hint="eastAsia"/>
          <w:sz w:val="32"/>
          <w:szCs w:val="32"/>
        </w:rPr>
        <w:t>（2）公务用车运行维护费</w:t>
      </w:r>
      <w:r w:rsidR="00470855">
        <w:rPr>
          <w:rFonts w:ascii="仿宋_GB2312" w:eastAsia="仿宋_GB2312" w:hint="eastAsia"/>
          <w:sz w:val="32"/>
          <w:szCs w:val="32"/>
        </w:rPr>
        <w:t>52.96</w:t>
      </w:r>
      <w:r w:rsidRPr="00B641F1">
        <w:rPr>
          <w:rFonts w:ascii="仿宋_GB2312" w:eastAsia="仿宋_GB2312" w:hint="eastAsia"/>
          <w:sz w:val="32"/>
          <w:szCs w:val="32"/>
        </w:rPr>
        <w:t>万元。</w:t>
      </w:r>
      <w:r w:rsidR="00470855">
        <w:rPr>
          <w:rFonts w:ascii="仿宋_GB2312" w:eastAsia="仿宋_GB2312" w:hint="eastAsia"/>
          <w:sz w:val="32"/>
          <w:szCs w:val="32"/>
        </w:rPr>
        <w:t>公务车用于开会、出差、接访等</w:t>
      </w:r>
      <w:r w:rsidRPr="00B641F1">
        <w:rPr>
          <w:rFonts w:ascii="仿宋_GB2312" w:eastAsia="仿宋_GB2312" w:hint="eastAsia"/>
          <w:sz w:val="32"/>
          <w:szCs w:val="32"/>
        </w:rPr>
        <w:t>。</w:t>
      </w:r>
    </w:p>
    <w:p w:rsidR="00246365" w:rsidRPr="00B641F1" w:rsidRDefault="00246365" w:rsidP="0065353C">
      <w:pPr>
        <w:widowControl/>
        <w:shd w:val="clear" w:color="auto" w:fill="FFFFFF"/>
        <w:spacing w:line="600" w:lineRule="exact"/>
        <w:ind w:firstLine="630"/>
        <w:jc w:val="left"/>
        <w:rPr>
          <w:rFonts w:ascii="仿宋_GB2312" w:eastAsia="仿宋_GB2312"/>
          <w:sz w:val="32"/>
          <w:szCs w:val="32"/>
        </w:rPr>
      </w:pPr>
      <w:r w:rsidRPr="00B641F1">
        <w:rPr>
          <w:rFonts w:ascii="仿宋_GB2312" w:eastAsia="仿宋_GB2312" w:hint="eastAsia"/>
          <w:sz w:val="32"/>
          <w:szCs w:val="32"/>
        </w:rPr>
        <w:lastRenderedPageBreak/>
        <w:t>截至201</w:t>
      </w:r>
      <w:r w:rsidR="00E76695">
        <w:rPr>
          <w:rFonts w:ascii="仿宋_GB2312" w:eastAsia="仿宋_GB2312" w:hint="eastAsia"/>
          <w:sz w:val="32"/>
          <w:szCs w:val="32"/>
        </w:rPr>
        <w:t>4</w:t>
      </w:r>
      <w:r w:rsidRPr="00B641F1">
        <w:rPr>
          <w:rFonts w:ascii="仿宋_GB2312" w:eastAsia="仿宋_GB2312" w:hint="eastAsia"/>
          <w:sz w:val="32"/>
          <w:szCs w:val="32"/>
        </w:rPr>
        <w:t>年底，</w:t>
      </w:r>
      <w:r w:rsidR="008241CB">
        <w:rPr>
          <w:rFonts w:ascii="仿宋_GB2312" w:eastAsia="仿宋_GB2312" w:hAnsi="宋体" w:cs="宋体" w:hint="eastAsia"/>
          <w:kern w:val="0"/>
          <w:sz w:val="32"/>
          <w:szCs w:val="32"/>
        </w:rPr>
        <w:t>本部门</w:t>
      </w:r>
      <w:r w:rsidRPr="00B641F1">
        <w:rPr>
          <w:rFonts w:ascii="仿宋_GB2312" w:eastAsia="仿宋_GB2312" w:hAnsi="宋体" w:cs="宋体" w:hint="eastAsia"/>
          <w:kern w:val="0"/>
          <w:sz w:val="32"/>
          <w:szCs w:val="32"/>
        </w:rPr>
        <w:t>公务用车保有量为</w:t>
      </w:r>
      <w:r w:rsidR="00470855">
        <w:rPr>
          <w:rFonts w:ascii="仿宋_GB2312" w:eastAsia="仿宋_GB2312" w:hAnsi="宋体" w:cs="宋体" w:hint="eastAsia"/>
          <w:kern w:val="0"/>
          <w:sz w:val="32"/>
          <w:szCs w:val="32"/>
        </w:rPr>
        <w:t>5</w:t>
      </w:r>
      <w:r w:rsidRPr="00B641F1">
        <w:rPr>
          <w:rFonts w:ascii="仿宋_GB2312" w:eastAsia="仿宋_GB2312" w:hAnsi="宋体" w:cs="宋体" w:hint="eastAsia"/>
          <w:kern w:val="0"/>
          <w:sz w:val="32"/>
          <w:szCs w:val="32"/>
        </w:rPr>
        <w:t>辆。</w:t>
      </w:r>
    </w:p>
    <w:p w:rsidR="007B7872" w:rsidRDefault="00246365" w:rsidP="0082653B">
      <w:pPr>
        <w:widowControl/>
        <w:shd w:val="clear" w:color="auto" w:fill="FFFFFF"/>
        <w:spacing w:line="600" w:lineRule="exact"/>
        <w:ind w:firstLine="630"/>
        <w:jc w:val="left"/>
        <w:rPr>
          <w:rFonts w:ascii="仿宋_GB2312" w:eastAsia="仿宋_GB2312"/>
          <w:sz w:val="32"/>
          <w:szCs w:val="32"/>
        </w:rPr>
      </w:pPr>
      <w:r w:rsidRPr="004F6AC3">
        <w:rPr>
          <w:rFonts w:ascii="楷体_GB2312" w:eastAsia="楷体_GB2312" w:hint="eastAsia"/>
          <w:sz w:val="32"/>
          <w:szCs w:val="32"/>
        </w:rPr>
        <w:t>3、公务接待费</w:t>
      </w:r>
      <w:r w:rsidR="00577A60">
        <w:rPr>
          <w:rFonts w:ascii="楷体_GB2312" w:eastAsia="楷体_GB2312" w:hint="eastAsia"/>
          <w:sz w:val="32"/>
          <w:szCs w:val="32"/>
        </w:rPr>
        <w:t xml:space="preserve"> </w:t>
      </w:r>
      <w:r w:rsidR="00470855">
        <w:rPr>
          <w:rFonts w:ascii="楷体_GB2312" w:eastAsia="楷体_GB2312" w:hint="eastAsia"/>
          <w:sz w:val="32"/>
          <w:szCs w:val="32"/>
        </w:rPr>
        <w:t>2.71</w:t>
      </w:r>
      <w:r w:rsidRPr="004F6AC3">
        <w:rPr>
          <w:rFonts w:ascii="楷体_GB2312" w:eastAsia="楷体_GB2312" w:hint="eastAsia"/>
          <w:sz w:val="32"/>
          <w:szCs w:val="32"/>
        </w:rPr>
        <w:t>万元。</w:t>
      </w:r>
      <w:r w:rsidRPr="00B641F1">
        <w:rPr>
          <w:rFonts w:ascii="仿宋_GB2312" w:eastAsia="仿宋_GB2312" w:hint="eastAsia"/>
          <w:sz w:val="32"/>
          <w:szCs w:val="32"/>
        </w:rPr>
        <w:t>包括单位按规定开支的各类公务接待（含外宾接待）支出。国内公务接待</w:t>
      </w:r>
      <w:r w:rsidR="00470855">
        <w:rPr>
          <w:rFonts w:ascii="仿宋_GB2312" w:eastAsia="仿宋_GB2312" w:hint="eastAsia"/>
          <w:sz w:val="32"/>
          <w:szCs w:val="32"/>
        </w:rPr>
        <w:t>共计8</w:t>
      </w:r>
      <w:r w:rsidRPr="00B641F1">
        <w:rPr>
          <w:rFonts w:ascii="仿宋_GB2312" w:eastAsia="仿宋_GB2312" w:hint="eastAsia"/>
          <w:sz w:val="32"/>
          <w:szCs w:val="32"/>
        </w:rPr>
        <w:t>批次、</w:t>
      </w:r>
      <w:r w:rsidR="00470855">
        <w:rPr>
          <w:rFonts w:ascii="仿宋_GB2312" w:eastAsia="仿宋_GB2312" w:hint="eastAsia"/>
          <w:sz w:val="32"/>
          <w:szCs w:val="32"/>
        </w:rPr>
        <w:t>130人次</w:t>
      </w:r>
      <w:r w:rsidRPr="00B641F1">
        <w:rPr>
          <w:rFonts w:ascii="仿宋_GB2312" w:eastAsia="仿宋_GB2312" w:hint="eastAsia"/>
          <w:sz w:val="32"/>
          <w:szCs w:val="32"/>
        </w:rPr>
        <w:t>。</w:t>
      </w:r>
    </w:p>
    <w:p w:rsidR="00246365" w:rsidRDefault="0082653B" w:rsidP="0065353C">
      <w:pPr>
        <w:spacing w:line="600" w:lineRule="exact"/>
        <w:ind w:firstLine="602"/>
        <w:rPr>
          <w:rFonts w:ascii="黑体" w:eastAsia="黑体" w:hAnsi="宋体"/>
          <w:sz w:val="32"/>
          <w:szCs w:val="32"/>
        </w:rPr>
      </w:pPr>
      <w:r>
        <w:rPr>
          <w:rFonts w:ascii="黑体" w:eastAsia="黑体" w:hAnsi="宋体" w:hint="eastAsia"/>
          <w:sz w:val="32"/>
          <w:szCs w:val="32"/>
        </w:rPr>
        <w:t>五、数据</w:t>
      </w:r>
      <w:r w:rsidR="00B641F1" w:rsidRPr="00287E57">
        <w:rPr>
          <w:rFonts w:ascii="黑体" w:eastAsia="黑体" w:hAnsi="宋体" w:hint="eastAsia"/>
          <w:sz w:val="32"/>
          <w:szCs w:val="32"/>
        </w:rPr>
        <w:t>口径</w:t>
      </w:r>
      <w:r w:rsidR="00823CDE">
        <w:rPr>
          <w:rFonts w:ascii="黑体" w:eastAsia="黑体" w:hAnsi="宋体" w:hint="eastAsia"/>
          <w:sz w:val="32"/>
          <w:szCs w:val="32"/>
        </w:rPr>
        <w:t>及名词解释</w:t>
      </w:r>
    </w:p>
    <w:p w:rsidR="0082653B" w:rsidRPr="0082653B" w:rsidRDefault="0082653B" w:rsidP="0065353C">
      <w:pPr>
        <w:spacing w:line="600" w:lineRule="exact"/>
        <w:ind w:firstLine="602"/>
        <w:rPr>
          <w:rFonts w:ascii="仿宋_GB2312" w:eastAsia="仿宋_GB2312" w:hAnsi="宋体"/>
          <w:sz w:val="32"/>
          <w:szCs w:val="32"/>
        </w:rPr>
      </w:pPr>
      <w:r w:rsidRPr="0082653B">
        <w:rPr>
          <w:rFonts w:ascii="仿宋_GB2312" w:eastAsia="仿宋_GB2312" w:hAnsi="宋体" w:hint="eastAsia"/>
          <w:sz w:val="32"/>
          <w:szCs w:val="32"/>
        </w:rPr>
        <w:t>1、</w:t>
      </w:r>
      <w:r w:rsidR="00823CDE">
        <w:rPr>
          <w:rFonts w:ascii="仿宋_GB2312" w:eastAsia="仿宋_GB2312" w:hAnsi="宋体" w:hint="eastAsia"/>
          <w:sz w:val="32"/>
          <w:szCs w:val="32"/>
        </w:rPr>
        <w:t>收入支出数据口径：部门</w:t>
      </w:r>
      <w:r>
        <w:rPr>
          <w:rFonts w:ascii="仿宋_GB2312" w:eastAsia="仿宋_GB2312" w:hAnsi="宋体" w:hint="eastAsia"/>
          <w:sz w:val="32"/>
          <w:szCs w:val="32"/>
        </w:rPr>
        <w:t>全部收入</w:t>
      </w:r>
      <w:r w:rsidR="00823CDE">
        <w:rPr>
          <w:rFonts w:ascii="仿宋_GB2312" w:eastAsia="仿宋_GB2312" w:hAnsi="宋体" w:hint="eastAsia"/>
          <w:sz w:val="32"/>
          <w:szCs w:val="32"/>
        </w:rPr>
        <w:t>和</w:t>
      </w:r>
      <w:r>
        <w:rPr>
          <w:rFonts w:ascii="仿宋_GB2312" w:eastAsia="仿宋_GB2312" w:hAnsi="宋体" w:hint="eastAsia"/>
          <w:sz w:val="32"/>
          <w:szCs w:val="32"/>
        </w:rPr>
        <w:t>支出。</w:t>
      </w:r>
    </w:p>
    <w:p w:rsidR="00246365" w:rsidRPr="00B641F1" w:rsidRDefault="0082653B" w:rsidP="0065353C">
      <w:pPr>
        <w:spacing w:line="600" w:lineRule="exact"/>
        <w:ind w:firstLine="602"/>
        <w:rPr>
          <w:rFonts w:ascii="仿宋_GB2312" w:eastAsia="仿宋_GB2312"/>
          <w:sz w:val="32"/>
          <w:szCs w:val="32"/>
        </w:rPr>
      </w:pPr>
      <w:r>
        <w:rPr>
          <w:rFonts w:ascii="仿宋_GB2312" w:eastAsia="仿宋_GB2312" w:hint="eastAsia"/>
          <w:sz w:val="32"/>
          <w:szCs w:val="32"/>
        </w:rPr>
        <w:t>2</w:t>
      </w:r>
      <w:r w:rsidR="00246365" w:rsidRPr="00B641F1">
        <w:rPr>
          <w:rFonts w:ascii="仿宋_GB2312" w:eastAsia="仿宋_GB2312" w:hint="eastAsia"/>
          <w:sz w:val="32"/>
          <w:szCs w:val="32"/>
        </w:rPr>
        <w:t>、三公经费</w:t>
      </w:r>
      <w:r>
        <w:rPr>
          <w:rFonts w:ascii="仿宋_GB2312" w:eastAsia="仿宋_GB2312" w:hint="eastAsia"/>
          <w:sz w:val="32"/>
          <w:szCs w:val="32"/>
        </w:rPr>
        <w:t>数据口径</w:t>
      </w:r>
      <w:r w:rsidR="00246365" w:rsidRPr="00B641F1">
        <w:rPr>
          <w:rFonts w:ascii="仿宋_GB2312" w:eastAsia="仿宋_GB2312" w:hint="eastAsia"/>
          <w:sz w:val="32"/>
          <w:szCs w:val="32"/>
        </w:rPr>
        <w:t>：当年公共预算财政拨款（含年度执行中追加预算）和上年公共预算财政拨款结转结余资金安排的“三公经费”实际支出。</w:t>
      </w:r>
    </w:p>
    <w:p w:rsidR="00D1769C" w:rsidRDefault="004F6AC3" w:rsidP="002341AC">
      <w:pPr>
        <w:spacing w:line="600" w:lineRule="exact"/>
        <w:ind w:firstLine="602"/>
        <w:rPr>
          <w:rFonts w:ascii="仿宋_GB2312" w:eastAsia="仿宋_GB2312" w:hAnsi="宋体"/>
          <w:sz w:val="32"/>
          <w:szCs w:val="32"/>
        </w:rPr>
      </w:pPr>
      <w:r>
        <w:rPr>
          <w:rFonts w:ascii="仿宋_GB2312" w:eastAsia="仿宋_GB2312" w:hAnsi="宋体" w:hint="eastAsia"/>
          <w:sz w:val="32"/>
          <w:szCs w:val="32"/>
        </w:rPr>
        <w:t>3、其他名词解释。</w:t>
      </w:r>
    </w:p>
    <w:p w:rsidR="002C14BE" w:rsidRDefault="002C14BE" w:rsidP="002341AC">
      <w:pPr>
        <w:spacing w:line="600" w:lineRule="exact"/>
        <w:ind w:firstLine="602"/>
        <w:rPr>
          <w:rFonts w:ascii="仿宋_GB2312" w:eastAsia="仿宋_GB2312" w:hAnsi="宋体"/>
          <w:sz w:val="32"/>
          <w:szCs w:val="32"/>
        </w:rPr>
      </w:pPr>
    </w:p>
    <w:p w:rsidR="002C14BE" w:rsidRDefault="002C14BE" w:rsidP="002341AC">
      <w:pPr>
        <w:spacing w:line="600" w:lineRule="exact"/>
        <w:ind w:firstLine="602"/>
        <w:rPr>
          <w:rFonts w:ascii="仿宋_GB2312" w:eastAsia="仿宋_GB2312" w:hAnsi="宋体"/>
          <w:sz w:val="32"/>
          <w:szCs w:val="32"/>
        </w:rPr>
      </w:pPr>
    </w:p>
    <w:p w:rsidR="002C14BE" w:rsidRDefault="002C14BE" w:rsidP="002341AC">
      <w:pPr>
        <w:spacing w:line="600" w:lineRule="exact"/>
        <w:ind w:firstLine="602"/>
        <w:rPr>
          <w:rFonts w:ascii="仿宋_GB2312" w:eastAsia="仿宋_GB2312" w:hAnsi="宋体"/>
          <w:sz w:val="32"/>
          <w:szCs w:val="32"/>
        </w:rPr>
      </w:pPr>
    </w:p>
    <w:p w:rsidR="002C14BE" w:rsidRDefault="002C14BE"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1530F2" w:rsidRDefault="001530F2" w:rsidP="00470855">
      <w:pPr>
        <w:spacing w:line="600" w:lineRule="exact"/>
        <w:rPr>
          <w:rFonts w:ascii="仿宋_GB2312" w:eastAsia="仿宋_GB2312" w:hAnsi="宋体" w:hint="eastAsia"/>
          <w:sz w:val="32"/>
          <w:szCs w:val="32"/>
        </w:rPr>
      </w:pPr>
    </w:p>
    <w:p w:rsidR="002C14BE" w:rsidRPr="002C14BE" w:rsidRDefault="002C14BE" w:rsidP="001530F2">
      <w:pPr>
        <w:spacing w:line="600" w:lineRule="exact"/>
        <w:jc w:val="left"/>
        <w:rPr>
          <w:rFonts w:ascii="仿宋_GB2312" w:eastAsia="仿宋_GB2312"/>
          <w:sz w:val="32"/>
          <w:szCs w:val="32"/>
        </w:rPr>
      </w:pPr>
    </w:p>
    <w:sectPr w:rsidR="002C14BE" w:rsidRPr="002C14BE" w:rsidSect="000328F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2A5" w:rsidRDefault="005B42A5" w:rsidP="00834440">
      <w:r>
        <w:separator/>
      </w:r>
    </w:p>
  </w:endnote>
  <w:endnote w:type="continuationSeparator" w:id="0">
    <w:p w:rsidR="005B42A5" w:rsidRDefault="005B42A5" w:rsidP="008344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altName w:val="微软雅黑"/>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altName w:val="仿宋"/>
    <w:charset w:val="86"/>
    <w:family w:val="auto"/>
    <w:pitch w:val="default"/>
    <w:sig w:usb0="00000287" w:usb1="080F0000" w:usb2="00000010" w:usb3="00000000" w:csb0="0004009F" w:csb1="00000000"/>
  </w:font>
  <w:font w:name="楷体_GB2312">
    <w:altName w:val="微软雅黑"/>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2A5" w:rsidRDefault="005B42A5" w:rsidP="00834440">
      <w:r>
        <w:separator/>
      </w:r>
    </w:p>
  </w:footnote>
  <w:footnote w:type="continuationSeparator" w:id="0">
    <w:p w:rsidR="005B42A5" w:rsidRDefault="005B42A5" w:rsidP="008344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37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34440"/>
    <w:rsid w:val="000328FA"/>
    <w:rsid w:val="00074B56"/>
    <w:rsid w:val="000A4A01"/>
    <w:rsid w:val="000B043F"/>
    <w:rsid w:val="000D0F3C"/>
    <w:rsid w:val="000F3B1D"/>
    <w:rsid w:val="00124FD4"/>
    <w:rsid w:val="001461DD"/>
    <w:rsid w:val="001530F2"/>
    <w:rsid w:val="00187893"/>
    <w:rsid w:val="001A63D4"/>
    <w:rsid w:val="001A7247"/>
    <w:rsid w:val="001B797C"/>
    <w:rsid w:val="001D33F9"/>
    <w:rsid w:val="00211108"/>
    <w:rsid w:val="002332CA"/>
    <w:rsid w:val="002341AC"/>
    <w:rsid w:val="00246365"/>
    <w:rsid w:val="00252592"/>
    <w:rsid w:val="00287E57"/>
    <w:rsid w:val="002C14BE"/>
    <w:rsid w:val="002C37F7"/>
    <w:rsid w:val="002C55E0"/>
    <w:rsid w:val="002D4971"/>
    <w:rsid w:val="003113C7"/>
    <w:rsid w:val="00336092"/>
    <w:rsid w:val="0035121D"/>
    <w:rsid w:val="0039152C"/>
    <w:rsid w:val="003F683C"/>
    <w:rsid w:val="00417AB3"/>
    <w:rsid w:val="00456FF8"/>
    <w:rsid w:val="00457392"/>
    <w:rsid w:val="00470855"/>
    <w:rsid w:val="004D7F4B"/>
    <w:rsid w:val="004F6AC3"/>
    <w:rsid w:val="00504CEA"/>
    <w:rsid w:val="00577A60"/>
    <w:rsid w:val="00583F75"/>
    <w:rsid w:val="005871C7"/>
    <w:rsid w:val="005B42A5"/>
    <w:rsid w:val="005C3B9E"/>
    <w:rsid w:val="006362D6"/>
    <w:rsid w:val="0065353C"/>
    <w:rsid w:val="006745FA"/>
    <w:rsid w:val="006A4CEC"/>
    <w:rsid w:val="006B6B2F"/>
    <w:rsid w:val="006C3664"/>
    <w:rsid w:val="00712635"/>
    <w:rsid w:val="00727759"/>
    <w:rsid w:val="00762471"/>
    <w:rsid w:val="00765553"/>
    <w:rsid w:val="00772737"/>
    <w:rsid w:val="007B2D34"/>
    <w:rsid w:val="007B7872"/>
    <w:rsid w:val="007E12EB"/>
    <w:rsid w:val="007F2213"/>
    <w:rsid w:val="0081323F"/>
    <w:rsid w:val="00823CDE"/>
    <w:rsid w:val="008241CB"/>
    <w:rsid w:val="0082653B"/>
    <w:rsid w:val="00834440"/>
    <w:rsid w:val="00957E24"/>
    <w:rsid w:val="00967BEA"/>
    <w:rsid w:val="00AA7986"/>
    <w:rsid w:val="00AF66C3"/>
    <w:rsid w:val="00B20EE8"/>
    <w:rsid w:val="00B24E0E"/>
    <w:rsid w:val="00B641F1"/>
    <w:rsid w:val="00B80193"/>
    <w:rsid w:val="00B9411C"/>
    <w:rsid w:val="00BB007F"/>
    <w:rsid w:val="00BE75BF"/>
    <w:rsid w:val="00BF0FAD"/>
    <w:rsid w:val="00C02AEE"/>
    <w:rsid w:val="00C84840"/>
    <w:rsid w:val="00CC162C"/>
    <w:rsid w:val="00CC43BE"/>
    <w:rsid w:val="00D1769C"/>
    <w:rsid w:val="00D516F3"/>
    <w:rsid w:val="00D61F63"/>
    <w:rsid w:val="00DA2B56"/>
    <w:rsid w:val="00DC4F2C"/>
    <w:rsid w:val="00DC6101"/>
    <w:rsid w:val="00DD5273"/>
    <w:rsid w:val="00E0706F"/>
    <w:rsid w:val="00E76695"/>
    <w:rsid w:val="00F2348B"/>
    <w:rsid w:val="00F4023D"/>
    <w:rsid w:val="00F50DA7"/>
    <w:rsid w:val="00F94037"/>
    <w:rsid w:val="00FE629B"/>
    <w:rsid w:val="00FF44F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8F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344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34440"/>
    <w:rPr>
      <w:sz w:val="18"/>
      <w:szCs w:val="18"/>
    </w:rPr>
  </w:style>
  <w:style w:type="paragraph" w:styleId="a4">
    <w:name w:val="footer"/>
    <w:basedOn w:val="a"/>
    <w:link w:val="Char0"/>
    <w:uiPriority w:val="99"/>
    <w:semiHidden/>
    <w:unhideWhenUsed/>
    <w:rsid w:val="0083444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34440"/>
    <w:rPr>
      <w:sz w:val="18"/>
      <w:szCs w:val="18"/>
    </w:rPr>
  </w:style>
  <w:style w:type="paragraph" w:styleId="a5">
    <w:name w:val="Date"/>
    <w:basedOn w:val="a"/>
    <w:next w:val="a"/>
    <w:link w:val="Char1"/>
    <w:uiPriority w:val="99"/>
    <w:semiHidden/>
    <w:unhideWhenUsed/>
    <w:rsid w:val="00D1769C"/>
    <w:pPr>
      <w:ind w:leftChars="2500" w:left="100"/>
    </w:pPr>
  </w:style>
  <w:style w:type="character" w:customStyle="1" w:styleId="Char1">
    <w:name w:val="日期 Char"/>
    <w:basedOn w:val="a0"/>
    <w:link w:val="a5"/>
    <w:uiPriority w:val="99"/>
    <w:semiHidden/>
    <w:rsid w:val="00D1769C"/>
  </w:style>
  <w:style w:type="paragraph" w:styleId="a6">
    <w:name w:val="Body Text"/>
    <w:basedOn w:val="a"/>
    <w:link w:val="Char2"/>
    <w:rsid w:val="004D7F4B"/>
    <w:pPr>
      <w:spacing w:after="120"/>
    </w:pPr>
    <w:rPr>
      <w:rFonts w:ascii="Times New Roman" w:eastAsia="宋体" w:hAnsi="Times New Roman" w:cs="Times New Roman"/>
      <w:szCs w:val="24"/>
    </w:rPr>
  </w:style>
  <w:style w:type="character" w:customStyle="1" w:styleId="Char2">
    <w:name w:val="正文文本 Char"/>
    <w:basedOn w:val="a0"/>
    <w:link w:val="a6"/>
    <w:rsid w:val="004D7F4B"/>
    <w:rPr>
      <w:rFonts w:ascii="Times New Roman" w:eastAsia="宋体" w:hAnsi="Times New Roman" w:cs="Times New Roman"/>
      <w:szCs w:val="24"/>
    </w:rPr>
  </w:style>
  <w:style w:type="paragraph" w:styleId="a7">
    <w:name w:val="Normal (Web)"/>
    <w:basedOn w:val="a"/>
    <w:rsid w:val="00957E24"/>
    <w:pPr>
      <w:jc w:val="left"/>
    </w:pPr>
    <w:rPr>
      <w:rFonts w:ascii="Times New Roman" w:eastAsia="宋体" w:hAnsi="Times New Roman" w:cs="Times New Roman"/>
      <w:kern w:val="0"/>
      <w:sz w:val="24"/>
      <w:szCs w:val="24"/>
    </w:rPr>
  </w:style>
  <w:style w:type="paragraph" w:customStyle="1" w:styleId="p0">
    <w:name w:val="p0"/>
    <w:basedOn w:val="a"/>
    <w:rsid w:val="00957E24"/>
    <w:pPr>
      <w:widowControl/>
      <w:spacing w:before="100" w:beforeAutospacing="1" w:after="100" w:afterAutospacing="1"/>
      <w:jc w:val="left"/>
    </w:pPr>
    <w:rPr>
      <w:rFonts w:ascii="宋体" w:eastAsia="宋体" w:hAnsi="宋体" w:cs="宋体"/>
      <w:kern w:val="0"/>
      <w:sz w:val="24"/>
      <w:szCs w:val="24"/>
    </w:rPr>
  </w:style>
  <w:style w:type="paragraph" w:customStyle="1" w:styleId="p17">
    <w:name w:val="p17"/>
    <w:basedOn w:val="a"/>
    <w:rsid w:val="00957E2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59777457">
      <w:bodyDiv w:val="1"/>
      <w:marLeft w:val="0"/>
      <w:marRight w:val="0"/>
      <w:marTop w:val="0"/>
      <w:marBottom w:val="0"/>
      <w:divBdr>
        <w:top w:val="none" w:sz="0" w:space="0" w:color="auto"/>
        <w:left w:val="none" w:sz="0" w:space="0" w:color="auto"/>
        <w:bottom w:val="none" w:sz="0" w:space="0" w:color="auto"/>
        <w:right w:val="none" w:sz="0" w:space="0" w:color="auto"/>
      </w:divBdr>
    </w:div>
    <w:div w:id="160506417">
      <w:bodyDiv w:val="1"/>
      <w:marLeft w:val="0"/>
      <w:marRight w:val="0"/>
      <w:marTop w:val="0"/>
      <w:marBottom w:val="0"/>
      <w:divBdr>
        <w:top w:val="none" w:sz="0" w:space="0" w:color="auto"/>
        <w:left w:val="none" w:sz="0" w:space="0" w:color="auto"/>
        <w:bottom w:val="none" w:sz="0" w:space="0" w:color="auto"/>
        <w:right w:val="none" w:sz="0" w:space="0" w:color="auto"/>
      </w:divBdr>
    </w:div>
    <w:div w:id="265768527">
      <w:bodyDiv w:val="1"/>
      <w:marLeft w:val="0"/>
      <w:marRight w:val="0"/>
      <w:marTop w:val="0"/>
      <w:marBottom w:val="0"/>
      <w:divBdr>
        <w:top w:val="none" w:sz="0" w:space="0" w:color="auto"/>
        <w:left w:val="none" w:sz="0" w:space="0" w:color="auto"/>
        <w:bottom w:val="none" w:sz="0" w:space="0" w:color="auto"/>
        <w:right w:val="none" w:sz="0" w:space="0" w:color="auto"/>
      </w:divBdr>
    </w:div>
    <w:div w:id="486626712">
      <w:bodyDiv w:val="1"/>
      <w:marLeft w:val="0"/>
      <w:marRight w:val="0"/>
      <w:marTop w:val="0"/>
      <w:marBottom w:val="0"/>
      <w:divBdr>
        <w:top w:val="none" w:sz="0" w:space="0" w:color="auto"/>
        <w:left w:val="none" w:sz="0" w:space="0" w:color="auto"/>
        <w:bottom w:val="none" w:sz="0" w:space="0" w:color="auto"/>
        <w:right w:val="none" w:sz="0" w:space="0" w:color="auto"/>
      </w:divBdr>
    </w:div>
    <w:div w:id="502933586">
      <w:bodyDiv w:val="1"/>
      <w:marLeft w:val="0"/>
      <w:marRight w:val="0"/>
      <w:marTop w:val="0"/>
      <w:marBottom w:val="0"/>
      <w:divBdr>
        <w:top w:val="none" w:sz="0" w:space="0" w:color="auto"/>
        <w:left w:val="none" w:sz="0" w:space="0" w:color="auto"/>
        <w:bottom w:val="none" w:sz="0" w:space="0" w:color="auto"/>
        <w:right w:val="none" w:sz="0" w:space="0" w:color="auto"/>
      </w:divBdr>
      <w:divsChild>
        <w:div w:id="1008095722">
          <w:marLeft w:val="0"/>
          <w:marRight w:val="0"/>
          <w:marTop w:val="0"/>
          <w:marBottom w:val="0"/>
          <w:divBdr>
            <w:top w:val="none" w:sz="0" w:space="0" w:color="auto"/>
            <w:left w:val="none" w:sz="0" w:space="0" w:color="auto"/>
            <w:bottom w:val="none" w:sz="0" w:space="0" w:color="auto"/>
            <w:right w:val="none" w:sz="0" w:space="0" w:color="auto"/>
          </w:divBdr>
        </w:div>
      </w:divsChild>
    </w:div>
    <w:div w:id="610210055">
      <w:bodyDiv w:val="1"/>
      <w:marLeft w:val="0"/>
      <w:marRight w:val="0"/>
      <w:marTop w:val="0"/>
      <w:marBottom w:val="0"/>
      <w:divBdr>
        <w:top w:val="none" w:sz="0" w:space="0" w:color="auto"/>
        <w:left w:val="none" w:sz="0" w:space="0" w:color="auto"/>
        <w:bottom w:val="none" w:sz="0" w:space="0" w:color="auto"/>
        <w:right w:val="none" w:sz="0" w:space="0" w:color="auto"/>
      </w:divBdr>
    </w:div>
    <w:div w:id="782187766">
      <w:bodyDiv w:val="1"/>
      <w:marLeft w:val="0"/>
      <w:marRight w:val="0"/>
      <w:marTop w:val="0"/>
      <w:marBottom w:val="0"/>
      <w:divBdr>
        <w:top w:val="none" w:sz="0" w:space="0" w:color="auto"/>
        <w:left w:val="none" w:sz="0" w:space="0" w:color="auto"/>
        <w:bottom w:val="none" w:sz="0" w:space="0" w:color="auto"/>
        <w:right w:val="none" w:sz="0" w:space="0" w:color="auto"/>
      </w:divBdr>
    </w:div>
    <w:div w:id="1028263274">
      <w:bodyDiv w:val="1"/>
      <w:marLeft w:val="0"/>
      <w:marRight w:val="0"/>
      <w:marTop w:val="0"/>
      <w:marBottom w:val="0"/>
      <w:divBdr>
        <w:top w:val="none" w:sz="0" w:space="0" w:color="auto"/>
        <w:left w:val="none" w:sz="0" w:space="0" w:color="auto"/>
        <w:bottom w:val="none" w:sz="0" w:space="0" w:color="auto"/>
        <w:right w:val="none" w:sz="0" w:space="0" w:color="auto"/>
      </w:divBdr>
    </w:div>
    <w:div w:id="1082263872">
      <w:bodyDiv w:val="1"/>
      <w:marLeft w:val="0"/>
      <w:marRight w:val="0"/>
      <w:marTop w:val="0"/>
      <w:marBottom w:val="0"/>
      <w:divBdr>
        <w:top w:val="none" w:sz="0" w:space="0" w:color="auto"/>
        <w:left w:val="none" w:sz="0" w:space="0" w:color="auto"/>
        <w:bottom w:val="none" w:sz="0" w:space="0" w:color="auto"/>
        <w:right w:val="none" w:sz="0" w:space="0" w:color="auto"/>
      </w:divBdr>
    </w:div>
    <w:div w:id="1262227256">
      <w:bodyDiv w:val="1"/>
      <w:marLeft w:val="0"/>
      <w:marRight w:val="0"/>
      <w:marTop w:val="0"/>
      <w:marBottom w:val="0"/>
      <w:divBdr>
        <w:top w:val="none" w:sz="0" w:space="0" w:color="auto"/>
        <w:left w:val="none" w:sz="0" w:space="0" w:color="auto"/>
        <w:bottom w:val="none" w:sz="0" w:space="0" w:color="auto"/>
        <w:right w:val="none" w:sz="0" w:space="0" w:color="auto"/>
      </w:divBdr>
    </w:div>
    <w:div w:id="1337610631">
      <w:bodyDiv w:val="1"/>
      <w:marLeft w:val="0"/>
      <w:marRight w:val="0"/>
      <w:marTop w:val="0"/>
      <w:marBottom w:val="0"/>
      <w:divBdr>
        <w:top w:val="none" w:sz="0" w:space="0" w:color="auto"/>
        <w:left w:val="none" w:sz="0" w:space="0" w:color="auto"/>
        <w:bottom w:val="none" w:sz="0" w:space="0" w:color="auto"/>
        <w:right w:val="none" w:sz="0" w:space="0" w:color="auto"/>
      </w:divBdr>
    </w:div>
    <w:div w:id="1399596277">
      <w:bodyDiv w:val="1"/>
      <w:marLeft w:val="0"/>
      <w:marRight w:val="0"/>
      <w:marTop w:val="0"/>
      <w:marBottom w:val="0"/>
      <w:divBdr>
        <w:top w:val="none" w:sz="0" w:space="0" w:color="auto"/>
        <w:left w:val="none" w:sz="0" w:space="0" w:color="auto"/>
        <w:bottom w:val="none" w:sz="0" w:space="0" w:color="auto"/>
        <w:right w:val="none" w:sz="0" w:space="0" w:color="auto"/>
      </w:divBdr>
    </w:div>
    <w:div w:id="1595087074">
      <w:bodyDiv w:val="1"/>
      <w:marLeft w:val="0"/>
      <w:marRight w:val="0"/>
      <w:marTop w:val="0"/>
      <w:marBottom w:val="0"/>
      <w:divBdr>
        <w:top w:val="none" w:sz="0" w:space="0" w:color="auto"/>
        <w:left w:val="none" w:sz="0" w:space="0" w:color="auto"/>
        <w:bottom w:val="none" w:sz="0" w:space="0" w:color="auto"/>
        <w:right w:val="none" w:sz="0" w:space="0" w:color="auto"/>
      </w:divBdr>
    </w:div>
    <w:div w:id="1875072906">
      <w:bodyDiv w:val="1"/>
      <w:marLeft w:val="0"/>
      <w:marRight w:val="0"/>
      <w:marTop w:val="0"/>
      <w:marBottom w:val="0"/>
      <w:divBdr>
        <w:top w:val="none" w:sz="0" w:space="0" w:color="auto"/>
        <w:left w:val="none" w:sz="0" w:space="0" w:color="auto"/>
        <w:bottom w:val="none" w:sz="0" w:space="0" w:color="auto"/>
        <w:right w:val="none" w:sz="0" w:space="0" w:color="auto"/>
      </w:divBdr>
    </w:div>
    <w:div w:id="1881285037">
      <w:bodyDiv w:val="1"/>
      <w:marLeft w:val="0"/>
      <w:marRight w:val="0"/>
      <w:marTop w:val="0"/>
      <w:marBottom w:val="0"/>
      <w:divBdr>
        <w:top w:val="none" w:sz="0" w:space="0" w:color="auto"/>
        <w:left w:val="none" w:sz="0" w:space="0" w:color="auto"/>
        <w:bottom w:val="none" w:sz="0" w:space="0" w:color="auto"/>
        <w:right w:val="none" w:sz="0" w:space="0" w:color="auto"/>
      </w:divBdr>
    </w:div>
    <w:div w:id="194441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9801B-B922-4C89-925B-2F74B7516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24</Pages>
  <Words>1716</Words>
  <Characters>9784</Characters>
  <Application>Microsoft Office Word</Application>
  <DocSecurity>0</DocSecurity>
  <Lines>81</Lines>
  <Paragraphs>22</Paragraphs>
  <ScaleCrop>false</ScaleCrop>
  <Company>微软中国</Company>
  <LinksUpToDate>false</LinksUpToDate>
  <CharactersWithSpaces>11478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admin</cp:lastModifiedBy>
  <cp:revision>6</cp:revision>
  <cp:lastPrinted>2015-07-28T08:32:00Z</cp:lastPrinted>
  <dcterms:created xsi:type="dcterms:W3CDTF">2015-07-28T06:46:00Z</dcterms:created>
  <dcterms:modified xsi:type="dcterms:W3CDTF">2015-07-28T08:32:00Z</dcterms:modified>
</cp:coreProperties>
</file>